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D0A2A" w14:textId="5994EAF5" w:rsidR="00272C21" w:rsidRDefault="005D7BA3" w:rsidP="00272C21">
      <w:pPr>
        <w:rPr>
          <w:rFonts w:cstheme="minorHAnsi"/>
        </w:rPr>
      </w:pPr>
      <w:r>
        <w:rPr>
          <w:rFonts w:cstheme="minorHAnsi"/>
        </w:rPr>
        <w:t xml:space="preserve">                                                                 </w:t>
      </w:r>
      <w:r w:rsidR="00272C21" w:rsidRPr="007F0C62">
        <w:rPr>
          <w:rFonts w:cstheme="minorHAnsi"/>
          <w:rtl/>
        </w:rPr>
        <w:t>פליגי בה בקרנזל</w:t>
      </w:r>
    </w:p>
    <w:p w14:paraId="70DBC3DC" w14:textId="1BA37474" w:rsidR="005D7BA3" w:rsidRPr="007F0C62" w:rsidRDefault="005D7BA3" w:rsidP="00272C21">
      <w:pPr>
        <w:rPr>
          <w:rFonts w:cstheme="minorHAnsi"/>
        </w:rPr>
      </w:pPr>
      <w:r>
        <w:rPr>
          <w:rFonts w:cstheme="minorHAnsi"/>
        </w:rPr>
        <w:t xml:space="preserve">                                                                </w:t>
      </w:r>
      <w:r w:rsidRPr="007F0C62">
        <w:rPr>
          <w:rFonts w:cstheme="minorHAnsi"/>
        </w:rPr>
        <w:t>Bava Metziah 108B</w:t>
      </w:r>
    </w:p>
    <w:p w14:paraId="10E1C9F9" w14:textId="08234EDB" w:rsidR="0061564A" w:rsidRPr="007F0C62" w:rsidRDefault="00272C21" w:rsidP="0061564A">
      <w:pPr>
        <w:rPr>
          <w:rFonts w:cstheme="minorHAnsi"/>
        </w:rPr>
      </w:pPr>
      <w:r w:rsidRPr="007F0C62">
        <w:rPr>
          <w:rFonts w:cstheme="minorHAnsi"/>
        </w:rPr>
        <w:t xml:space="preserve">                    </w:t>
      </w:r>
      <w:r w:rsidR="007F0C62">
        <w:rPr>
          <w:rFonts w:cstheme="minorHAnsi"/>
        </w:rPr>
        <w:t xml:space="preserve">              </w:t>
      </w:r>
      <w:r w:rsidRPr="007F0C62">
        <w:rPr>
          <w:rFonts w:cstheme="minorHAnsi"/>
        </w:rPr>
        <w:t xml:space="preserve"> </w:t>
      </w:r>
      <w:r w:rsidR="007F0C62">
        <w:rPr>
          <w:rFonts w:cstheme="minorHAnsi"/>
        </w:rPr>
        <w:t xml:space="preserve">  </w:t>
      </w:r>
      <w:r w:rsidRPr="007F0C62">
        <w:rPr>
          <w:rFonts w:cstheme="minorHAnsi"/>
        </w:rPr>
        <w:t xml:space="preserve"> </w:t>
      </w:r>
      <w:r w:rsidR="003801D5" w:rsidRPr="007F0C62">
        <w:rPr>
          <w:rFonts w:cstheme="minorHAnsi"/>
        </w:rPr>
        <w:t>How Do You Sell One</w:t>
      </w:r>
      <w:r w:rsidR="0061564A" w:rsidRPr="007F0C62">
        <w:rPr>
          <w:rFonts w:cstheme="minorHAnsi"/>
        </w:rPr>
        <w:t xml:space="preserve"> Field to Four Neighbors?</w:t>
      </w:r>
    </w:p>
    <w:p w14:paraId="410E1EE3" w14:textId="5BC48193" w:rsidR="00B5177D" w:rsidRPr="007F0C62" w:rsidRDefault="00272C21" w:rsidP="0061564A">
      <w:pPr>
        <w:rPr>
          <w:rFonts w:cstheme="minorHAnsi"/>
        </w:rPr>
      </w:pPr>
      <w:r w:rsidRPr="007F0C62">
        <w:rPr>
          <w:rFonts w:cstheme="minorHAnsi"/>
        </w:rPr>
        <w:t xml:space="preserve">                                                 </w:t>
      </w:r>
      <w:r w:rsidR="007F0C62">
        <w:rPr>
          <w:rFonts w:cstheme="minorHAnsi"/>
        </w:rPr>
        <w:t xml:space="preserve">        </w:t>
      </w:r>
      <w:r w:rsidRPr="007F0C62">
        <w:rPr>
          <w:rFonts w:cstheme="minorHAnsi"/>
        </w:rPr>
        <w:t xml:space="preserve">  </w:t>
      </w:r>
      <w:r w:rsidR="00B5177D" w:rsidRPr="007F0C62">
        <w:rPr>
          <w:rFonts w:cstheme="minorHAnsi"/>
        </w:rPr>
        <w:t>Eli Genauer</w:t>
      </w:r>
    </w:p>
    <w:p w14:paraId="525A357D" w14:textId="77777777" w:rsidR="003801D5" w:rsidRPr="007F0C62" w:rsidRDefault="003801D5" w:rsidP="003801D5">
      <w:pPr>
        <w:rPr>
          <w:rFonts w:cstheme="minorHAnsi"/>
        </w:rPr>
      </w:pPr>
      <w:r w:rsidRPr="007F0C62">
        <w:rPr>
          <w:rFonts w:cstheme="minorHAnsi"/>
        </w:rPr>
        <w:t>The Gemara discusses the situation where a person wants to sell his field…to whom should he offer it first? Normally, the person owning a neighboring field has priority (</w:t>
      </w:r>
      <w:r w:rsidRPr="007F0C62">
        <w:rPr>
          <w:rFonts w:cstheme="minorHAnsi"/>
          <w:rtl/>
        </w:rPr>
        <w:t>בר מצרא</w:t>
      </w:r>
      <w:r w:rsidRPr="007F0C62">
        <w:rPr>
          <w:rFonts w:cstheme="minorHAnsi"/>
        </w:rPr>
        <w:t>), but what if his field is bordered on each side by a field owned by a different owner?</w:t>
      </w:r>
    </w:p>
    <w:p w14:paraId="69C2EBAD" w14:textId="55F5F300" w:rsidR="0061564A" w:rsidRPr="007F0C62" w:rsidRDefault="00090ECB" w:rsidP="0061564A">
      <w:pPr>
        <w:rPr>
          <w:rFonts w:cstheme="minorHAnsi"/>
        </w:rPr>
      </w:pPr>
      <w:r w:rsidRPr="007F0C62">
        <w:rPr>
          <w:rFonts w:cstheme="minorHAnsi"/>
        </w:rPr>
        <w:t>At the very bottom of the page, t</w:t>
      </w:r>
      <w:r w:rsidR="0061564A" w:rsidRPr="007F0C62">
        <w:rPr>
          <w:rFonts w:cstheme="minorHAnsi"/>
        </w:rPr>
        <w:t xml:space="preserve">he Gemara concludes </w:t>
      </w:r>
      <w:r w:rsidR="0061564A" w:rsidRPr="007F0C62">
        <w:rPr>
          <w:rFonts w:cstheme="minorHAnsi"/>
          <w:rtl/>
        </w:rPr>
        <w:t>״</w:t>
      </w:r>
      <w:r w:rsidR="0061564A" w:rsidRPr="007F0C62">
        <w:rPr>
          <w:rFonts w:cstheme="minorHAnsi"/>
          <w:b/>
          <w:bCs/>
          <w:rtl/>
        </w:rPr>
        <w:t>פליגי בה בקרנזל</w:t>
      </w:r>
      <w:r w:rsidR="0061564A" w:rsidRPr="007F0C62">
        <w:rPr>
          <w:rFonts w:cstheme="minorHAnsi"/>
          <w:rtl/>
        </w:rPr>
        <w:t>״</w:t>
      </w:r>
      <w:r w:rsidR="0061564A" w:rsidRPr="007F0C62">
        <w:rPr>
          <w:rFonts w:cstheme="minorHAnsi"/>
        </w:rPr>
        <w:t xml:space="preserve"> </w:t>
      </w:r>
      <w:r w:rsidR="007F0C62">
        <w:rPr>
          <w:rFonts w:cstheme="minorHAnsi"/>
        </w:rPr>
        <w:t xml:space="preserve">- </w:t>
      </w:r>
      <w:r w:rsidR="0061564A" w:rsidRPr="007F0C62">
        <w:rPr>
          <w:rFonts w:cstheme="minorHAnsi"/>
        </w:rPr>
        <w:t xml:space="preserve">each neighbor gets to buy that portion of the field </w:t>
      </w:r>
      <w:r w:rsidR="007A10AB">
        <w:rPr>
          <w:rFonts w:cstheme="minorHAnsi"/>
        </w:rPr>
        <w:t>which</w:t>
      </w:r>
      <w:r w:rsidR="0061564A" w:rsidRPr="007F0C62">
        <w:rPr>
          <w:rFonts w:cstheme="minorHAnsi"/>
        </w:rPr>
        <w:t xml:space="preserve"> is closest to him and that it is divided diagonally.</w:t>
      </w:r>
    </w:p>
    <w:p w14:paraId="75D841EF" w14:textId="77777777" w:rsidR="0061564A" w:rsidRPr="007F0C62" w:rsidRDefault="0061564A" w:rsidP="0061564A">
      <w:pPr>
        <w:rPr>
          <w:rFonts w:cstheme="minorHAnsi"/>
        </w:rPr>
      </w:pPr>
      <w:r w:rsidRPr="007F0C62">
        <w:rPr>
          <w:rFonts w:cstheme="minorHAnsi"/>
        </w:rPr>
        <w:t>Rashi explains:</w:t>
      </w:r>
    </w:p>
    <w:p w14:paraId="046651DC" w14:textId="77777777" w:rsidR="0061564A" w:rsidRPr="007F0C62" w:rsidRDefault="0061564A" w:rsidP="007F0C62">
      <w:pPr>
        <w:bidi/>
        <w:rPr>
          <w:rFonts w:cstheme="minorHAnsi"/>
        </w:rPr>
      </w:pPr>
      <w:r w:rsidRPr="007F0C62">
        <w:rPr>
          <w:rFonts w:cstheme="minorHAnsi"/>
          <w:b/>
          <w:bCs/>
          <w:rtl/>
        </w:rPr>
        <w:t>פליגי בה בקרנזל</w:t>
      </w:r>
      <w:r w:rsidRPr="007F0C62">
        <w:rPr>
          <w:rFonts w:cstheme="minorHAnsi"/>
          <w:rtl/>
        </w:rPr>
        <w:t>: בארבע אלכסונות שיהא כל אחד נוטל בה על פּני כולה סמוך לו, כזה</w:t>
      </w:r>
    </w:p>
    <w:p w14:paraId="645F04EA" w14:textId="77777777" w:rsidR="0061564A" w:rsidRPr="007F0C62" w:rsidRDefault="0061564A" w:rsidP="0061564A">
      <w:pPr>
        <w:rPr>
          <w:rFonts w:cstheme="minorHAnsi"/>
        </w:rPr>
      </w:pPr>
      <w:r w:rsidRPr="007F0C62">
        <w:rPr>
          <w:rFonts w:cstheme="minorHAnsi"/>
        </w:rPr>
        <w:t>“Diagonally four ways, so that everyone gets the entire portion of the field closest to him…like this”</w:t>
      </w:r>
    </w:p>
    <w:p w14:paraId="2C4C745A" w14:textId="77777777" w:rsidR="0061564A" w:rsidRDefault="0061564A" w:rsidP="0061564A">
      <w:pPr>
        <w:rPr>
          <w:rFonts w:cs="Arial"/>
          <w:sz w:val="28"/>
          <w:szCs w:val="28"/>
        </w:rPr>
      </w:pPr>
      <w:r w:rsidRPr="007F0C62">
        <w:rPr>
          <w:rFonts w:cstheme="minorHAnsi"/>
        </w:rPr>
        <w:t>We do not have an autograph copy of this Rashi to know for certain whether Rashi included a diagram in his commentary, but we do have a manuscript written within a century of his death. It looks like this</w:t>
      </w:r>
      <w:r>
        <w:rPr>
          <w:rFonts w:cs="Arial"/>
          <w:sz w:val="28"/>
          <w:szCs w:val="28"/>
        </w:rPr>
        <w:t>:</w:t>
      </w:r>
    </w:p>
    <w:p w14:paraId="0C187764" w14:textId="77777777" w:rsidR="0061564A" w:rsidRDefault="0061564A" w:rsidP="0061564A">
      <w:pPr>
        <w:rPr>
          <w:rFonts w:cs="Arial"/>
          <w:sz w:val="28"/>
          <w:szCs w:val="28"/>
        </w:rPr>
      </w:pPr>
      <w:r w:rsidRPr="001D45CA">
        <w:rPr>
          <w:rFonts w:cs="Arial"/>
          <w:noProof/>
          <w:sz w:val="28"/>
          <w:szCs w:val="28"/>
        </w:rPr>
        <w:drawing>
          <wp:inline distT="0" distB="0" distL="0" distR="0" wp14:anchorId="542819EC" wp14:editId="58CECCFD">
            <wp:extent cx="3986136" cy="258270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24731" t="15088" r="19891" b="21131"/>
                    <a:stretch>
                      <a:fillRect/>
                    </a:stretch>
                  </pic:blipFill>
                  <pic:spPr bwMode="auto">
                    <a:xfrm>
                      <a:off x="0" y="0"/>
                      <a:ext cx="3987747" cy="2583746"/>
                    </a:xfrm>
                    <a:prstGeom prst="rect">
                      <a:avLst/>
                    </a:prstGeom>
                    <a:noFill/>
                    <a:ln w="9525">
                      <a:noFill/>
                      <a:miter lim="800000"/>
                      <a:headEnd/>
                      <a:tailEnd/>
                    </a:ln>
                  </pic:spPr>
                </pic:pic>
              </a:graphicData>
            </a:graphic>
          </wp:inline>
        </w:drawing>
      </w:r>
    </w:p>
    <w:p w14:paraId="2B1F2BD0" w14:textId="77777777" w:rsidR="00272C21" w:rsidRPr="007F0C62" w:rsidRDefault="00272C21" w:rsidP="00272C21">
      <w:pPr>
        <w:rPr>
          <w:rFonts w:cstheme="minorHAnsi"/>
        </w:rPr>
      </w:pPr>
      <w:r w:rsidRPr="007F0C62">
        <w:rPr>
          <w:rFonts w:cstheme="minorHAnsi"/>
        </w:rPr>
        <w:t>The British Library England London Or. 73</w:t>
      </w:r>
    </w:p>
    <w:p w14:paraId="15D290DE" w14:textId="4BD3CDAA" w:rsidR="00272C21" w:rsidRPr="007F0C62" w:rsidRDefault="00272C21" w:rsidP="00272C21">
      <w:pPr>
        <w:rPr>
          <w:rFonts w:cstheme="minorHAnsi"/>
        </w:rPr>
      </w:pPr>
      <w:r w:rsidRPr="007F0C62">
        <w:rPr>
          <w:rFonts w:cstheme="minorHAnsi"/>
          <w:rtl/>
        </w:rPr>
        <w:t xml:space="preserve">[א]תק"א לשטרות </w:t>
      </w:r>
      <w:r w:rsidR="0029100D" w:rsidRPr="007F0C62">
        <w:rPr>
          <w:rFonts w:cstheme="minorHAnsi"/>
        </w:rPr>
        <w:t xml:space="preserve">   (</w:t>
      </w:r>
      <w:r w:rsidRPr="007F0C62">
        <w:rPr>
          <w:rFonts w:cstheme="minorHAnsi"/>
          <w:rtl/>
        </w:rPr>
        <w:t>1190</w:t>
      </w:r>
      <w:r w:rsidR="0029100D" w:rsidRPr="007F0C62">
        <w:rPr>
          <w:rFonts w:cstheme="minorHAnsi"/>
        </w:rPr>
        <w:t>)</w:t>
      </w:r>
    </w:p>
    <w:p w14:paraId="1785C7A8" w14:textId="56F7454D" w:rsidR="007F0C62" w:rsidRPr="007F0C62" w:rsidRDefault="005D7BA3" w:rsidP="00272C21">
      <w:pPr>
        <w:rPr>
          <w:rFonts w:cstheme="minorHAnsi"/>
        </w:rPr>
      </w:pPr>
      <w:hyperlink r:id="rId6" w:history="1">
        <w:r w:rsidR="007F0C62" w:rsidRPr="007F0C62">
          <w:rPr>
            <w:rStyle w:val="Hyperlink"/>
            <w:rFonts w:cstheme="minorHAnsi"/>
          </w:rPr>
          <w:t>https://web.nli.org.il/sites/NLIS/en/ManuScript/Pages/Item.aspx?ItemID=PNX_MANUSCRIPTS990001210440205171&amp;SearchTxt=%D7%AA%D7%9C%D7%9E%D7%95%D7%93%20%D7%91%D7%91%D7%9C%D7%99%20%D7%91%D7%91%D7%90%20%D7%9E%D7%A6%D7%99%D7%A2%D7%90%20Or.%2073</w:t>
        </w:r>
      </w:hyperlink>
    </w:p>
    <w:p w14:paraId="12C87FC3" w14:textId="73FEECE2" w:rsidR="0061564A" w:rsidRPr="007F0C62" w:rsidRDefault="0061564A" w:rsidP="00272C21">
      <w:r w:rsidRPr="007F0C62">
        <w:lastRenderedPageBreak/>
        <w:t xml:space="preserve">The diagram shows that </w:t>
      </w:r>
      <w:proofErr w:type="gramStart"/>
      <w:r w:rsidRPr="007F0C62">
        <w:t>Reuven ,Shimon</w:t>
      </w:r>
      <w:proofErr w:type="gramEnd"/>
      <w:r w:rsidRPr="007F0C62">
        <w:t xml:space="preserve">, Levi and Yehuda owned fields adjacent to the field being offered for sale and that each one can buy the diagonal pie slice closest to him. </w:t>
      </w:r>
    </w:p>
    <w:p w14:paraId="17EB7CFF" w14:textId="77777777" w:rsidR="007F0C62" w:rsidRPr="007F0C62" w:rsidRDefault="0061564A" w:rsidP="007F0C62">
      <w:pPr>
        <w:rPr>
          <w:rFonts w:cs="Arial"/>
        </w:rPr>
      </w:pPr>
      <w:r w:rsidRPr="007F0C62">
        <w:rPr>
          <w:rFonts w:cs="Arial"/>
        </w:rPr>
        <w:t>Another Rashi manuscript depicts it in a similar manner</w:t>
      </w:r>
    </w:p>
    <w:p w14:paraId="099C7628" w14:textId="474B2EE1" w:rsidR="007F0C62" w:rsidRPr="007F0C62" w:rsidRDefault="007F0C62" w:rsidP="007F0C62">
      <w:pPr>
        <w:rPr>
          <w:rFonts w:cs="Arial"/>
        </w:rPr>
      </w:pPr>
      <w:r w:rsidRPr="007F0C62">
        <w:t xml:space="preserve">Vatican </w:t>
      </w:r>
      <w:proofErr w:type="gramStart"/>
      <w:r w:rsidRPr="007F0C62">
        <w:t>ebr.131..</w:t>
      </w:r>
      <w:proofErr w:type="gramEnd"/>
      <w:r w:rsidRPr="007F0C62">
        <w:t xml:space="preserve"> 81v</w:t>
      </w:r>
      <w:proofErr w:type="gramStart"/>
      <w:r w:rsidRPr="007F0C62">
        <w:t>-  14</w:t>
      </w:r>
      <w:proofErr w:type="gramEnd"/>
      <w:r w:rsidRPr="007F0C62">
        <w:t>th Century Courtesy of Polonsky Digitization Project</w:t>
      </w:r>
    </w:p>
    <w:p w14:paraId="618BC923" w14:textId="1924ACDB" w:rsidR="0061564A" w:rsidRDefault="007F0C62" w:rsidP="0061564A">
      <w:pPr>
        <w:rPr>
          <w:rFonts w:cs="Arial"/>
          <w:sz w:val="28"/>
          <w:szCs w:val="28"/>
        </w:rPr>
      </w:pPr>
      <w:r>
        <w:rPr>
          <w:noProof/>
        </w:rPr>
        <w:drawing>
          <wp:inline distT="0" distB="0" distL="0" distR="0" wp14:anchorId="2F080F32" wp14:editId="20A6C6CA">
            <wp:extent cx="5943600" cy="2788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8285"/>
                    </a:xfrm>
                    <a:prstGeom prst="rect">
                      <a:avLst/>
                    </a:prstGeom>
                  </pic:spPr>
                </pic:pic>
              </a:graphicData>
            </a:graphic>
          </wp:inline>
        </w:drawing>
      </w:r>
    </w:p>
    <w:p w14:paraId="10FC27D3" w14:textId="77777777" w:rsidR="0061564A" w:rsidRDefault="0061564A" w:rsidP="0061564A">
      <w:pPr>
        <w:rPr>
          <w:rFonts w:cs="Arial"/>
          <w:sz w:val="28"/>
          <w:szCs w:val="28"/>
        </w:rPr>
      </w:pPr>
    </w:p>
    <w:p w14:paraId="34909615" w14:textId="77777777" w:rsidR="0061564A" w:rsidRPr="007F0C62" w:rsidRDefault="0061564A" w:rsidP="0061564A">
      <w:pPr>
        <w:rPr>
          <w:rFonts w:cs="Arial"/>
        </w:rPr>
      </w:pPr>
      <w:r w:rsidRPr="007F0C62">
        <w:rPr>
          <w:rFonts w:cs="Arial"/>
        </w:rPr>
        <w:t>This last manuscript depicts it in a slightly different manner. It eliminates the depiction of the fields surrounding the field for sale but keeps the names of the owners of the fields surrounding it.</w:t>
      </w:r>
    </w:p>
    <w:p w14:paraId="29DA6199" w14:textId="77777777" w:rsidR="0061564A" w:rsidRPr="007F0C62" w:rsidRDefault="0061564A" w:rsidP="0061564A">
      <w:pPr>
        <w:rPr>
          <w:rFonts w:cs="Arial"/>
        </w:rPr>
      </w:pPr>
      <w:r w:rsidRPr="007F0C62">
        <w:rPr>
          <w:rFonts w:cs="Arial"/>
        </w:rPr>
        <w:t xml:space="preserve"> The British Library Add 27916</w:t>
      </w:r>
    </w:p>
    <w:p w14:paraId="39DEE660" w14:textId="77777777" w:rsidR="0061564A" w:rsidRDefault="0061564A" w:rsidP="0061564A">
      <w:pPr>
        <w:rPr>
          <w:rFonts w:cs="Arial"/>
          <w:sz w:val="28"/>
          <w:szCs w:val="28"/>
        </w:rPr>
      </w:pPr>
      <w:r w:rsidRPr="00F02125">
        <w:rPr>
          <w:rFonts w:cs="Arial"/>
          <w:noProof/>
          <w:sz w:val="28"/>
          <w:szCs w:val="28"/>
        </w:rPr>
        <w:drawing>
          <wp:inline distT="0" distB="0" distL="0" distR="0" wp14:anchorId="4AA8FB0B" wp14:editId="4FB3AFA9">
            <wp:extent cx="5943600" cy="273594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1923" t="13139" r="26457" b="44526"/>
                    <a:stretch>
                      <a:fillRect/>
                    </a:stretch>
                  </pic:blipFill>
                  <pic:spPr bwMode="auto">
                    <a:xfrm>
                      <a:off x="0" y="0"/>
                      <a:ext cx="5943600" cy="2735944"/>
                    </a:xfrm>
                    <a:prstGeom prst="rect">
                      <a:avLst/>
                    </a:prstGeom>
                    <a:noFill/>
                    <a:ln w="9525">
                      <a:noFill/>
                      <a:miter lim="800000"/>
                      <a:headEnd/>
                      <a:tailEnd/>
                    </a:ln>
                  </pic:spPr>
                </pic:pic>
              </a:graphicData>
            </a:graphic>
          </wp:inline>
        </w:drawing>
      </w:r>
    </w:p>
    <w:p w14:paraId="3738C8C4" w14:textId="77777777" w:rsidR="0061564A" w:rsidRDefault="0061564A" w:rsidP="0061564A">
      <w:pPr>
        <w:rPr>
          <w:rFonts w:cs="Arial"/>
          <w:sz w:val="28"/>
          <w:szCs w:val="28"/>
        </w:rPr>
      </w:pPr>
    </w:p>
    <w:p w14:paraId="187AE384" w14:textId="77777777" w:rsidR="00090ECB" w:rsidRPr="006550BA" w:rsidRDefault="00090ECB" w:rsidP="00090ECB">
      <w:pPr>
        <w:rPr>
          <w:rFonts w:cs="Arial"/>
        </w:rPr>
      </w:pPr>
      <w:r w:rsidRPr="006550BA">
        <w:rPr>
          <w:rFonts w:cs="Arial"/>
        </w:rPr>
        <w:t>The diagram looks</w:t>
      </w:r>
      <w:r w:rsidR="0061564A" w:rsidRPr="006550BA">
        <w:rPr>
          <w:rFonts w:cs="Arial"/>
        </w:rPr>
        <w:t xml:space="preserve"> similar in</w:t>
      </w:r>
      <w:r w:rsidRPr="006550BA">
        <w:rPr>
          <w:rFonts w:cs="Arial"/>
        </w:rPr>
        <w:t xml:space="preserve"> </w:t>
      </w:r>
      <w:r w:rsidR="003801D5" w:rsidRPr="006550BA">
        <w:rPr>
          <w:rFonts w:cs="Arial"/>
        </w:rPr>
        <w:t xml:space="preserve">modern editions of the Talmud, </w:t>
      </w:r>
      <w:r w:rsidRPr="006550BA">
        <w:rPr>
          <w:rFonts w:cs="Arial"/>
        </w:rPr>
        <w:t>however the names of the owners of the adjacent fields have been eliminated, and only the diagonal division of the property offered for sale is maintained.</w:t>
      </w:r>
    </w:p>
    <w:p w14:paraId="3D771067" w14:textId="77777777" w:rsidR="0061564A" w:rsidRPr="005D7BA3" w:rsidRDefault="0061564A" w:rsidP="00090ECB">
      <w:pPr>
        <w:rPr>
          <w:rFonts w:cs="Arial"/>
        </w:rPr>
      </w:pPr>
      <w:r w:rsidRPr="005D7BA3">
        <w:rPr>
          <w:rFonts w:cs="Arial"/>
        </w:rPr>
        <w:t xml:space="preserve"> This is how it appears in the classic Vilna Shas (1883). </w:t>
      </w:r>
    </w:p>
    <w:p w14:paraId="1BBD03E8" w14:textId="77777777" w:rsidR="0061564A" w:rsidRDefault="0061564A" w:rsidP="0061564A">
      <w:pPr>
        <w:rPr>
          <w:rFonts w:cs="Arial"/>
          <w:sz w:val="28"/>
          <w:szCs w:val="28"/>
        </w:rPr>
      </w:pPr>
      <w:r w:rsidRPr="00F02125">
        <w:rPr>
          <w:rFonts w:cs="Arial"/>
          <w:noProof/>
          <w:sz w:val="28"/>
          <w:szCs w:val="28"/>
        </w:rPr>
        <w:drawing>
          <wp:inline distT="0" distB="0" distL="0" distR="0" wp14:anchorId="3B66B7FE" wp14:editId="6EAD5DB1">
            <wp:extent cx="6547606" cy="1207008"/>
            <wp:effectExtent l="19050" t="0" r="5594"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398" t="63504" r="14352" b="9854"/>
                    <a:stretch>
                      <a:fillRect/>
                    </a:stretch>
                  </pic:blipFill>
                  <pic:spPr bwMode="auto">
                    <a:xfrm>
                      <a:off x="0" y="0"/>
                      <a:ext cx="6548446" cy="1207163"/>
                    </a:xfrm>
                    <a:prstGeom prst="rect">
                      <a:avLst/>
                    </a:prstGeom>
                    <a:noFill/>
                    <a:ln w="9525">
                      <a:noFill/>
                      <a:miter lim="800000"/>
                      <a:headEnd/>
                      <a:tailEnd/>
                    </a:ln>
                  </pic:spPr>
                </pic:pic>
              </a:graphicData>
            </a:graphic>
          </wp:inline>
        </w:drawing>
      </w:r>
    </w:p>
    <w:p w14:paraId="5A0B0019" w14:textId="51BF39B7" w:rsidR="0061564A" w:rsidRPr="00BE019C" w:rsidRDefault="0061564A" w:rsidP="00BE019C">
      <w:pPr>
        <w:rPr>
          <w:rFonts w:cs="Arial"/>
        </w:rPr>
      </w:pPr>
      <w:r w:rsidRPr="00BE019C">
        <w:rPr>
          <w:rFonts w:cs="Arial"/>
        </w:rPr>
        <w:t>We don’t know if including the area around the middle field was important to Rashi, (as in the first two manuscripts) or whether he felt it was important to show how the four different owners were positioned around the field. But it certainly seemed to be part of the copyist</w:t>
      </w:r>
      <w:r w:rsidR="00EB6FE9">
        <w:rPr>
          <w:rFonts w:cs="Arial"/>
        </w:rPr>
        <w:t>’</w:t>
      </w:r>
      <w:r w:rsidRPr="00BE019C">
        <w:rPr>
          <w:rFonts w:cs="Arial"/>
        </w:rPr>
        <w:t>s work.</w:t>
      </w:r>
    </w:p>
    <w:p w14:paraId="730FB76A" w14:textId="105F3614" w:rsidR="0061564A" w:rsidRPr="00BE019C" w:rsidRDefault="00C53CF2" w:rsidP="0061564A">
      <w:r w:rsidRPr="00BE019C">
        <w:t>The pagination and Tzurat</w:t>
      </w:r>
      <w:r w:rsidR="0061564A" w:rsidRPr="00BE019C">
        <w:t xml:space="preserve"> HaDaf of the Vilna Shas</w:t>
      </w:r>
      <w:r w:rsidR="00090ECB" w:rsidRPr="00BE019C">
        <w:t xml:space="preserve"> </w:t>
      </w:r>
      <w:r w:rsidR="00EB6FE9" w:rsidRPr="00BE019C">
        <w:t>come</w:t>
      </w:r>
      <w:r w:rsidR="00090ECB" w:rsidRPr="00BE019C">
        <w:t xml:space="preserve"> from the first complete edition</w:t>
      </w:r>
      <w:r w:rsidR="0061564A" w:rsidRPr="00BE019C">
        <w:t xml:space="preserve"> of the printed Talmud, that of the Bomberg Shas of 1520-1523.</w:t>
      </w:r>
      <w:r w:rsidR="00EB6FE9">
        <w:t xml:space="preserve"> </w:t>
      </w:r>
      <w:r w:rsidR="0061564A" w:rsidRPr="00BE019C">
        <w:t xml:space="preserve">However, that edition did not contain the diagrams that were extant on manuscripts, rather it left blank spaces on the page where the diagram was supposed to be. </w:t>
      </w:r>
      <w:r w:rsidR="00B67212" w:rsidRPr="00BE019C">
        <w:t>(1)</w:t>
      </w:r>
    </w:p>
    <w:p w14:paraId="3CFC52C5" w14:textId="77777777" w:rsidR="0061564A" w:rsidRPr="00BE019C" w:rsidRDefault="0061564A" w:rsidP="0061564A">
      <w:r w:rsidRPr="00BE019C">
        <w:t>Here is how the bottom of our Daf looked in the Bomberg Talmud</w:t>
      </w:r>
    </w:p>
    <w:p w14:paraId="370033BF" w14:textId="77777777" w:rsidR="0061564A" w:rsidRDefault="0061564A" w:rsidP="0061564A">
      <w:pPr>
        <w:rPr>
          <w:sz w:val="28"/>
          <w:szCs w:val="28"/>
        </w:rPr>
      </w:pPr>
      <w:r w:rsidRPr="008E72F9">
        <w:rPr>
          <w:noProof/>
          <w:sz w:val="28"/>
          <w:szCs w:val="28"/>
        </w:rPr>
        <w:drawing>
          <wp:inline distT="0" distB="0" distL="0" distR="0" wp14:anchorId="0BF04804" wp14:editId="1C07668C">
            <wp:extent cx="6637782" cy="155581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878" t="54338" r="3891" b="10927"/>
                    <a:stretch>
                      <a:fillRect/>
                    </a:stretch>
                  </pic:blipFill>
                  <pic:spPr bwMode="auto">
                    <a:xfrm>
                      <a:off x="0" y="0"/>
                      <a:ext cx="6655545" cy="1559973"/>
                    </a:xfrm>
                    <a:prstGeom prst="rect">
                      <a:avLst/>
                    </a:prstGeom>
                    <a:noFill/>
                    <a:ln w="9525">
                      <a:noFill/>
                      <a:miter lim="800000"/>
                      <a:headEnd/>
                      <a:tailEnd/>
                    </a:ln>
                  </pic:spPr>
                </pic:pic>
              </a:graphicData>
            </a:graphic>
          </wp:inline>
        </w:drawing>
      </w:r>
    </w:p>
    <w:p w14:paraId="1DCDFA9C" w14:textId="77777777" w:rsidR="00594D7A" w:rsidRPr="00BE019C" w:rsidRDefault="0061564A" w:rsidP="00594D7A">
      <w:r w:rsidRPr="00BE019C">
        <w:t xml:space="preserve">It is clear that the Bomberg editors were working from a manuscript that had the word “Kazeh”, and they even separated the word “Kazeh” from the text of the Rashi to indicate the presence of a diagram. The three manuscripts shown above prove that such manuscripts did exist. </w:t>
      </w:r>
    </w:p>
    <w:p w14:paraId="0213EC72" w14:textId="70D155C7" w:rsidR="0061564A" w:rsidRPr="00BE019C" w:rsidRDefault="00C53CF2" w:rsidP="00BE019C">
      <w:r w:rsidRPr="00BE019C">
        <w:t>The Frankfurt a</w:t>
      </w:r>
      <w:r w:rsidR="0061564A" w:rsidRPr="00BE019C">
        <w:t xml:space="preserve">n </w:t>
      </w:r>
      <w:r w:rsidRPr="00BE019C">
        <w:t xml:space="preserve">der </w:t>
      </w:r>
      <w:r w:rsidR="0061564A" w:rsidRPr="00BE019C">
        <w:t xml:space="preserve">Oder edition of 1698 </w:t>
      </w:r>
      <w:r w:rsidR="00BE019C" w:rsidRPr="00BE019C">
        <w:t>(</w:t>
      </w:r>
      <w:r w:rsidR="0061564A" w:rsidRPr="00BE019C">
        <w:t>The Berman Shas) was the first edition after Bomberg to contain diagrams</w:t>
      </w:r>
      <w:r w:rsidR="00BE019C" w:rsidRPr="00BE019C">
        <w:t xml:space="preserve"> on some sections of the Talmud</w:t>
      </w:r>
      <w:r w:rsidR="0061564A" w:rsidRPr="00BE019C">
        <w:t xml:space="preserve">, but this diagram is not included in Bava Metziah 108b. </w:t>
      </w:r>
    </w:p>
    <w:p w14:paraId="26494F36" w14:textId="77777777" w:rsidR="000B08C2" w:rsidRDefault="000B08C2" w:rsidP="0061564A">
      <w:pPr>
        <w:rPr>
          <w:sz w:val="28"/>
          <w:szCs w:val="28"/>
        </w:rPr>
      </w:pPr>
    </w:p>
    <w:p w14:paraId="7ABAD260" w14:textId="521FBAAD" w:rsidR="0061564A" w:rsidRPr="00BE019C" w:rsidRDefault="0061564A" w:rsidP="0061564A">
      <w:r w:rsidRPr="00BE019C">
        <w:lastRenderedPageBreak/>
        <w:t>We finally find th</w:t>
      </w:r>
      <w:r w:rsidR="003801D5" w:rsidRPr="00BE019C">
        <w:t>e diagram in the Frankfurt am Ma</w:t>
      </w:r>
      <w:r w:rsidRPr="00BE019C">
        <w:t>in edition of 1720, present again in the printed text of the Talmud after an absence of 200 years. It is positioned properly right after “Kazeh”, but leaves out the neighboring fields and the names of those who owned them. Whether this was important to Rashi we will never know, but we can assume that if Rashi’s handwritten commentary included this, it was there for a reason.</w:t>
      </w:r>
    </w:p>
    <w:p w14:paraId="6C25A103" w14:textId="04390B60" w:rsidR="0061564A" w:rsidRDefault="000B08C2" w:rsidP="0061564A">
      <w:pPr>
        <w:rPr>
          <w:sz w:val="28"/>
          <w:szCs w:val="28"/>
        </w:rPr>
      </w:pPr>
      <w:r>
        <w:rPr>
          <w:noProof/>
        </w:rPr>
        <w:drawing>
          <wp:inline distT="0" distB="0" distL="0" distR="0" wp14:anchorId="1B7625FD" wp14:editId="160DB718">
            <wp:extent cx="5943600" cy="80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07720"/>
                    </a:xfrm>
                    <a:prstGeom prst="rect">
                      <a:avLst/>
                    </a:prstGeom>
                  </pic:spPr>
                </pic:pic>
              </a:graphicData>
            </a:graphic>
          </wp:inline>
        </w:drawing>
      </w:r>
    </w:p>
    <w:p w14:paraId="663203B7" w14:textId="1B143A40" w:rsidR="0061564A" w:rsidRPr="007B3045" w:rsidRDefault="00E428AE" w:rsidP="00E428AE">
      <w:pPr>
        <w:rPr>
          <w:rFonts w:cs="Arial"/>
        </w:rPr>
      </w:pPr>
      <w:r>
        <w:rPr>
          <w:rFonts w:cstheme="minorHAnsi"/>
        </w:rPr>
        <w:t xml:space="preserve">What was the source of this “X” shaped diagram in the Frankfurt Shas? </w:t>
      </w:r>
      <w:r w:rsidR="0061564A" w:rsidRPr="00BE019C">
        <w:rPr>
          <w:rFonts w:cstheme="minorHAnsi"/>
        </w:rPr>
        <w:t>The</w:t>
      </w:r>
      <w:r>
        <w:rPr>
          <w:rFonts w:cstheme="minorHAnsi"/>
        </w:rPr>
        <w:t xml:space="preserve"> </w:t>
      </w:r>
      <w:r w:rsidR="0061564A" w:rsidRPr="00BE019C">
        <w:rPr>
          <w:rFonts w:cstheme="minorHAnsi"/>
        </w:rPr>
        <w:t>introduction to the Nehard</w:t>
      </w:r>
      <w:r w:rsidR="00BE019C">
        <w:rPr>
          <w:rFonts w:cstheme="minorHAnsi"/>
        </w:rPr>
        <w:t>e</w:t>
      </w:r>
      <w:r w:rsidR="0061564A" w:rsidRPr="00BE019C">
        <w:rPr>
          <w:rFonts w:cstheme="minorHAnsi"/>
        </w:rPr>
        <w:t>a edition of the Shas (Vagshal, Jerusalem, 2008) states that at the time that diagrams were included in the printed editions</w:t>
      </w:r>
      <w:r w:rsidR="00BE019C">
        <w:rPr>
          <w:rFonts w:cstheme="minorHAnsi"/>
        </w:rPr>
        <w:t>,</w:t>
      </w:r>
      <w:r w:rsidR="000B08C2">
        <w:rPr>
          <w:rFonts w:cstheme="minorHAnsi"/>
        </w:rPr>
        <w:t xml:space="preserve"> </w:t>
      </w:r>
      <w:r w:rsidR="0061564A" w:rsidRPr="00BE019C">
        <w:rPr>
          <w:rFonts w:cstheme="minorHAnsi"/>
        </w:rPr>
        <w:t>200 years had passed since printed editions became the norm for study. It then states that because of that, most likely the editors in the early part of the 18</w:t>
      </w:r>
      <w:r w:rsidR="0061564A" w:rsidRPr="00BE019C">
        <w:rPr>
          <w:rFonts w:cstheme="minorHAnsi"/>
          <w:vertAlign w:val="superscript"/>
        </w:rPr>
        <w:t>th</w:t>
      </w:r>
      <w:r w:rsidR="0061564A" w:rsidRPr="00BE019C">
        <w:rPr>
          <w:rFonts w:cstheme="minorHAnsi"/>
        </w:rPr>
        <w:t xml:space="preserve"> century did not have manuscripts on which to base the diagrams. </w:t>
      </w:r>
      <w:r w:rsidR="00C53CF2" w:rsidRPr="007B3045">
        <w:rPr>
          <w:rFonts w:cs="Arial"/>
        </w:rPr>
        <w:t xml:space="preserve">Concerning the </w:t>
      </w:r>
      <w:r w:rsidR="00EB6FE9">
        <w:rPr>
          <w:rFonts w:cs="Arial"/>
        </w:rPr>
        <w:t xml:space="preserve">1720 </w:t>
      </w:r>
      <w:r w:rsidR="00C53CF2" w:rsidRPr="007B3045">
        <w:rPr>
          <w:rFonts w:cs="Arial"/>
        </w:rPr>
        <w:t>Frankfurt am Ma</w:t>
      </w:r>
      <w:r w:rsidR="0061564A" w:rsidRPr="007B3045">
        <w:rPr>
          <w:rFonts w:cs="Arial"/>
        </w:rPr>
        <w:t>in edition, the introduction to the Nehard</w:t>
      </w:r>
      <w:r>
        <w:rPr>
          <w:rFonts w:cs="Arial"/>
        </w:rPr>
        <w:t>e</w:t>
      </w:r>
      <w:r w:rsidR="0061564A" w:rsidRPr="007B3045">
        <w:rPr>
          <w:rFonts w:cs="Arial"/>
        </w:rPr>
        <w:t xml:space="preserve">a edition </w:t>
      </w:r>
      <w:r>
        <w:rPr>
          <w:rFonts w:cs="Arial"/>
        </w:rPr>
        <w:t xml:space="preserve">then </w:t>
      </w:r>
      <w:r w:rsidR="0061564A" w:rsidRPr="007B3045">
        <w:rPr>
          <w:rFonts w:cs="Arial"/>
        </w:rPr>
        <w:t>states</w:t>
      </w:r>
    </w:p>
    <w:p w14:paraId="7B9B0BF1" w14:textId="51500F40" w:rsidR="0003219C" w:rsidRDefault="0061564A" w:rsidP="0003219C">
      <w:pPr>
        <w:bidi/>
        <w:rPr>
          <w:rFonts w:cs="Arial"/>
        </w:rPr>
      </w:pPr>
      <w:r w:rsidRPr="007B3045">
        <w:rPr>
          <w:rFonts w:cs="Arial" w:hint="cs"/>
          <w:rtl/>
        </w:rPr>
        <w:t>מעיד</w:t>
      </w:r>
      <w:r w:rsidRPr="007B3045">
        <w:rPr>
          <w:rFonts w:cs="Arial"/>
          <w:rtl/>
        </w:rPr>
        <w:t xml:space="preserve"> </w:t>
      </w:r>
      <w:r w:rsidRPr="007B3045">
        <w:rPr>
          <w:rFonts w:cs="Arial" w:hint="cs"/>
          <w:rtl/>
        </w:rPr>
        <w:t>הרב</w:t>
      </w:r>
      <w:r w:rsidRPr="007B3045">
        <w:rPr>
          <w:rFonts w:cs="Arial"/>
          <w:rtl/>
        </w:rPr>
        <w:t xml:space="preserve"> </w:t>
      </w:r>
      <w:r w:rsidRPr="007B3045">
        <w:rPr>
          <w:rFonts w:cs="Arial" w:hint="cs"/>
          <w:rtl/>
        </w:rPr>
        <w:t>המדפיס</w:t>
      </w:r>
      <w:r w:rsidRPr="007B3045">
        <w:rPr>
          <w:rFonts w:cs="Arial"/>
          <w:rtl/>
        </w:rPr>
        <w:t xml:space="preserve"> </w:t>
      </w:r>
      <w:r w:rsidRPr="007B3045">
        <w:rPr>
          <w:rFonts w:cs="Arial" w:hint="cs"/>
          <w:rtl/>
        </w:rPr>
        <w:t>כי</w:t>
      </w:r>
      <w:r w:rsidRPr="007B3045">
        <w:rPr>
          <w:rFonts w:cs="Arial"/>
          <w:rtl/>
        </w:rPr>
        <w:t xml:space="preserve"> </w:t>
      </w:r>
      <w:r w:rsidRPr="007B3045">
        <w:rPr>
          <w:rFonts w:cs="Arial" w:hint="cs"/>
          <w:rtl/>
        </w:rPr>
        <w:t>לקח</w:t>
      </w:r>
      <w:r w:rsidRPr="007B3045">
        <w:rPr>
          <w:rFonts w:cs="Arial"/>
          <w:rtl/>
        </w:rPr>
        <w:t xml:space="preserve"> </w:t>
      </w:r>
      <w:r w:rsidRPr="007B3045">
        <w:rPr>
          <w:rFonts w:cs="Arial" w:hint="cs"/>
          <w:rtl/>
        </w:rPr>
        <w:t>הציורים</w:t>
      </w:r>
      <w:r w:rsidRPr="007B3045">
        <w:rPr>
          <w:rFonts w:cs="Arial"/>
          <w:rtl/>
        </w:rPr>
        <w:t xml:space="preserve"> </w:t>
      </w:r>
      <w:r w:rsidRPr="007B3045">
        <w:rPr>
          <w:rFonts w:cs="Arial" w:hint="cs"/>
          <w:rtl/>
        </w:rPr>
        <w:t>מתוך</w:t>
      </w:r>
      <w:r w:rsidRPr="007B3045">
        <w:rPr>
          <w:rFonts w:cs="Arial"/>
          <w:rtl/>
        </w:rPr>
        <w:t xml:space="preserve"> </w:t>
      </w:r>
      <w:r w:rsidRPr="007B3045">
        <w:rPr>
          <w:rFonts w:cs="Arial" w:hint="cs"/>
          <w:rtl/>
        </w:rPr>
        <w:t>ספרי</w:t>
      </w:r>
      <w:r w:rsidRPr="007B3045">
        <w:rPr>
          <w:rFonts w:cs="Arial"/>
          <w:rtl/>
        </w:rPr>
        <w:t xml:space="preserve"> </w:t>
      </w:r>
      <w:r w:rsidRPr="007B3045">
        <w:rPr>
          <w:rFonts w:cs="Arial" w:hint="cs"/>
          <w:rtl/>
        </w:rPr>
        <w:t>המהרש״</w:t>
      </w:r>
      <w:r w:rsidR="0003219C" w:rsidRPr="007B3045">
        <w:rPr>
          <w:rFonts w:cs="Arial" w:hint="cs"/>
          <w:rtl/>
        </w:rPr>
        <w:t>ל</w:t>
      </w:r>
    </w:p>
    <w:p w14:paraId="2CD2D84B" w14:textId="1FD2F8AF" w:rsidR="005F1C7A" w:rsidRPr="007B3045" w:rsidRDefault="005F1C7A" w:rsidP="0003219C">
      <w:pPr>
        <w:rPr>
          <w:rFonts w:cs="Arial"/>
        </w:rPr>
      </w:pPr>
      <w:r>
        <w:rPr>
          <w:rFonts w:cs="Arial"/>
        </w:rPr>
        <w:t xml:space="preserve">By that he meant, from the Sefer Chochmat Shlomo printed in Cracow in 1582. Maharshal restored many of the diagrams missing from the Bomberg Shas. </w:t>
      </w:r>
    </w:p>
    <w:p w14:paraId="059B50A4" w14:textId="74AE3C67" w:rsidR="00BE019C" w:rsidRDefault="00EB6FE9" w:rsidP="00E428AE">
      <w:r>
        <w:t xml:space="preserve">However, </w:t>
      </w:r>
      <w:r w:rsidR="0061564A" w:rsidRPr="00BE019C">
        <w:t>there is no diagram included in the Chochmat Shlomo</w:t>
      </w:r>
      <w:r w:rsidR="00E428AE">
        <w:t xml:space="preserve">, eliminating that as a possible source. </w:t>
      </w:r>
    </w:p>
    <w:p w14:paraId="02ECD72D" w14:textId="293B8203" w:rsidR="0061564A" w:rsidRDefault="00BE019C" w:rsidP="0061564A">
      <w:r>
        <w:rPr>
          <w:noProof/>
        </w:rPr>
        <w:drawing>
          <wp:inline distT="0" distB="0" distL="0" distR="0" wp14:anchorId="691F53C5" wp14:editId="78E75E19">
            <wp:extent cx="5943600" cy="2591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91435"/>
                    </a:xfrm>
                    <a:prstGeom prst="rect">
                      <a:avLst/>
                    </a:prstGeom>
                  </pic:spPr>
                </pic:pic>
              </a:graphicData>
            </a:graphic>
          </wp:inline>
        </w:drawing>
      </w:r>
    </w:p>
    <w:p w14:paraId="33AA430A" w14:textId="77777777" w:rsidR="005F1C7A" w:rsidRDefault="005F1C7A" w:rsidP="0061564A"/>
    <w:p w14:paraId="4D8C335A" w14:textId="77777777" w:rsidR="005F1C7A" w:rsidRDefault="005F1C7A" w:rsidP="0061564A"/>
    <w:p w14:paraId="6AF78820" w14:textId="65D70A5F" w:rsidR="007B3045" w:rsidRDefault="007B3045" w:rsidP="0061564A">
      <w:r>
        <w:lastRenderedPageBreak/>
        <w:t>The editor of the Frankfurt am Main 1720</w:t>
      </w:r>
      <w:r w:rsidR="00EB6FE9">
        <w:t xml:space="preserve">, </w:t>
      </w:r>
      <w:r>
        <w:t xml:space="preserve">in his introduction </w:t>
      </w:r>
      <w:r w:rsidR="00924416">
        <w:t>to Masechet Brachot</w:t>
      </w:r>
      <w:r w:rsidR="00EB6FE9">
        <w:t>,</w:t>
      </w:r>
      <w:r>
        <w:t xml:space="preserve"> </w:t>
      </w:r>
      <w:r w:rsidR="0003219C">
        <w:t xml:space="preserve">also </w:t>
      </w:r>
      <w:r>
        <w:t xml:space="preserve">states that the diagrams he included </w:t>
      </w:r>
      <w:r w:rsidR="000B08C2">
        <w:t xml:space="preserve">sometimes </w:t>
      </w:r>
      <w:r>
        <w:t xml:space="preserve">were </w:t>
      </w:r>
      <w:r w:rsidRPr="007B3045">
        <w:t>"</w:t>
      </w:r>
      <w:r w:rsidRPr="007B3045">
        <w:rPr>
          <w:rFonts w:cs="Arial"/>
          <w:rtl/>
        </w:rPr>
        <w:t xml:space="preserve">לפי הבנת הפשט </w:t>
      </w:r>
      <w:r w:rsidRPr="007B3045">
        <w:t>"</w:t>
      </w:r>
      <w:r w:rsidR="00EB6FE9">
        <w:t>.</w:t>
      </w:r>
    </w:p>
    <w:p w14:paraId="38AF7819" w14:textId="17E3A74F" w:rsidR="007B3045" w:rsidRDefault="000B08C2" w:rsidP="0061564A">
      <w:r>
        <w:rPr>
          <w:noProof/>
        </w:rPr>
        <w:drawing>
          <wp:inline distT="0" distB="0" distL="0" distR="0" wp14:anchorId="025E3E59" wp14:editId="2243A371">
            <wp:extent cx="5943600" cy="860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60425"/>
                    </a:xfrm>
                    <a:prstGeom prst="rect">
                      <a:avLst/>
                    </a:prstGeom>
                  </pic:spPr>
                </pic:pic>
              </a:graphicData>
            </a:graphic>
          </wp:inline>
        </w:drawing>
      </w:r>
    </w:p>
    <w:p w14:paraId="7FD5B897" w14:textId="2084AF84" w:rsidR="00A019DC" w:rsidRDefault="00A019DC" w:rsidP="0061564A">
      <w:r>
        <w:t>On the Shaar Blatt of this edition, the editor states that he also was “Magiah” the text from a book called “Chochmat Manoach”. (Prague 1612)</w:t>
      </w:r>
    </w:p>
    <w:p w14:paraId="13964DE8" w14:textId="7D19F476" w:rsidR="00EB6FE9" w:rsidRDefault="00A019DC" w:rsidP="0061564A">
      <w:r>
        <w:rPr>
          <w:noProof/>
        </w:rPr>
        <w:drawing>
          <wp:inline distT="0" distB="0" distL="0" distR="0" wp14:anchorId="33D03871" wp14:editId="7D23EF92">
            <wp:extent cx="5943600"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6225"/>
                    </a:xfrm>
                    <a:prstGeom prst="rect">
                      <a:avLst/>
                    </a:prstGeom>
                  </pic:spPr>
                </pic:pic>
              </a:graphicData>
            </a:graphic>
          </wp:inline>
        </w:drawing>
      </w:r>
      <w:r w:rsidR="00BF398C">
        <w:t xml:space="preserve"> Like Chochmat Shlomo, it often supplied diagrams which were missing from the Bomberg Shas. </w:t>
      </w:r>
      <w:r>
        <w:t xml:space="preserve">One can clearly see that the </w:t>
      </w:r>
      <w:r w:rsidR="005F1C7A">
        <w:t xml:space="preserve">Frankfurt Gemara contains the same “X” shape as the Chochmat Manoach. </w:t>
      </w:r>
    </w:p>
    <w:p w14:paraId="4A7D2B39" w14:textId="532905FC" w:rsidR="00BF398C" w:rsidRDefault="00BF398C" w:rsidP="0061564A">
      <w:r>
        <w:rPr>
          <w:noProof/>
        </w:rPr>
        <w:drawing>
          <wp:inline distT="0" distB="0" distL="0" distR="0" wp14:anchorId="44F84B4A" wp14:editId="4BBFBA0B">
            <wp:extent cx="3861960" cy="525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6764" cy="572587"/>
                    </a:xfrm>
                    <a:prstGeom prst="rect">
                      <a:avLst/>
                    </a:prstGeom>
                  </pic:spPr>
                </pic:pic>
              </a:graphicData>
            </a:graphic>
          </wp:inline>
        </w:drawing>
      </w:r>
      <w:r>
        <w:rPr>
          <w:noProof/>
        </w:rPr>
        <w:drawing>
          <wp:inline distT="0" distB="0" distL="0" distR="0" wp14:anchorId="67D786E3" wp14:editId="10FB5539">
            <wp:extent cx="1876893" cy="525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6086" cy="595304"/>
                    </a:xfrm>
                    <a:prstGeom prst="rect">
                      <a:avLst/>
                    </a:prstGeom>
                  </pic:spPr>
                </pic:pic>
              </a:graphicData>
            </a:graphic>
          </wp:inline>
        </w:drawing>
      </w:r>
    </w:p>
    <w:p w14:paraId="003EC1A1" w14:textId="3016115A" w:rsidR="00EB6FE9" w:rsidRDefault="00BF398C" w:rsidP="0061564A">
      <w:r>
        <w:t xml:space="preserve">                     Chochmat Manoach Prague 1712                  vs                         Bava Metziah Frankfurt 1720</w:t>
      </w:r>
    </w:p>
    <w:p w14:paraId="752EAB40" w14:textId="77777777" w:rsidR="00B67212" w:rsidRPr="000B08C2" w:rsidRDefault="00B67212" w:rsidP="00B67212">
      <w:pPr>
        <w:pStyle w:val="ListParagraph"/>
        <w:numPr>
          <w:ilvl w:val="0"/>
          <w:numId w:val="1"/>
        </w:numPr>
        <w:rPr>
          <w:rFonts w:cstheme="minorHAnsi"/>
        </w:rPr>
      </w:pPr>
      <w:r w:rsidRPr="000B08C2">
        <w:rPr>
          <w:rStyle w:val="apple-converted-space"/>
          <w:rFonts w:cstheme="minorHAnsi"/>
          <w:color w:val="333333"/>
          <w:shd w:val="clear" w:color="auto" w:fill="FFFFFF"/>
        </w:rPr>
        <w:t> </w:t>
      </w:r>
      <w:r w:rsidRPr="000B08C2">
        <w:rPr>
          <w:rFonts w:cstheme="minorHAnsi"/>
          <w:i/>
          <w:iCs/>
          <w:color w:val="000000"/>
          <w:shd w:val="clear" w:color="auto" w:fill="FFFFFF"/>
        </w:rPr>
        <w:t>Maamar 'al hadpasat ha-Talmud</w:t>
      </w:r>
      <w:r w:rsidRPr="000B08C2">
        <w:rPr>
          <w:rStyle w:val="apple-converted-space"/>
          <w:rFonts w:cstheme="minorHAnsi"/>
          <w:color w:val="333333"/>
          <w:shd w:val="clear" w:color="auto" w:fill="FFFFFF"/>
        </w:rPr>
        <w:t> </w:t>
      </w:r>
      <w:r w:rsidRPr="000B08C2">
        <w:rPr>
          <w:rFonts w:cstheme="minorHAnsi"/>
          <w:i/>
          <w:iCs/>
          <w:color w:val="000000"/>
          <w:shd w:val="clear" w:color="auto" w:fill="FFFFFF"/>
        </w:rPr>
        <w:t>with Additions</w:t>
      </w:r>
      <w:r w:rsidRPr="000B08C2">
        <w:rPr>
          <w:rFonts w:cstheme="minorHAnsi"/>
          <w:color w:val="000000"/>
          <w:shd w:val="clear" w:color="auto" w:fill="FFFFFF"/>
        </w:rPr>
        <w:t>, ed. A.M. Habermann, Mossad ha-Rav Kook, Jerusalem: 2006,</w:t>
      </w:r>
      <w:r w:rsidRPr="000B08C2">
        <w:rPr>
          <w:rFonts w:cstheme="minorHAnsi"/>
          <w:color w:val="333333"/>
          <w:shd w:val="clear" w:color="auto" w:fill="FFFFFF"/>
        </w:rPr>
        <w:t> p.41</w:t>
      </w:r>
    </w:p>
    <w:p w14:paraId="1A6C9F4D" w14:textId="4524ABF3" w:rsidR="0095650A" w:rsidRPr="000B08C2" w:rsidRDefault="0095650A" w:rsidP="00EB6FE9">
      <w:pPr>
        <w:pStyle w:val="ListParagraph"/>
        <w:rPr>
          <w:rFonts w:cstheme="minorHAnsi"/>
        </w:rPr>
      </w:pPr>
    </w:p>
    <w:sectPr w:rsidR="0095650A" w:rsidRPr="000B08C2" w:rsidSect="000170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E83EB1"/>
    <w:multiLevelType w:val="hybridMultilevel"/>
    <w:tmpl w:val="3A88C9A2"/>
    <w:lvl w:ilvl="0" w:tplc="146E0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1564A"/>
    <w:rsid w:val="00017001"/>
    <w:rsid w:val="0003219C"/>
    <w:rsid w:val="00080FCA"/>
    <w:rsid w:val="00090ECB"/>
    <w:rsid w:val="000B08C2"/>
    <w:rsid w:val="00130F25"/>
    <w:rsid w:val="00272C21"/>
    <w:rsid w:val="0029100D"/>
    <w:rsid w:val="00366E46"/>
    <w:rsid w:val="003801D5"/>
    <w:rsid w:val="00594D7A"/>
    <w:rsid w:val="005D7BA3"/>
    <w:rsid w:val="005F1C7A"/>
    <w:rsid w:val="0061564A"/>
    <w:rsid w:val="00626E27"/>
    <w:rsid w:val="006550BA"/>
    <w:rsid w:val="00721D5A"/>
    <w:rsid w:val="007A10AB"/>
    <w:rsid w:val="007B3045"/>
    <w:rsid w:val="007F0C62"/>
    <w:rsid w:val="008971C6"/>
    <w:rsid w:val="00924416"/>
    <w:rsid w:val="0095650A"/>
    <w:rsid w:val="00983605"/>
    <w:rsid w:val="00A019DC"/>
    <w:rsid w:val="00B46C27"/>
    <w:rsid w:val="00B5177D"/>
    <w:rsid w:val="00B67212"/>
    <w:rsid w:val="00BE019C"/>
    <w:rsid w:val="00BF398C"/>
    <w:rsid w:val="00C53CF2"/>
    <w:rsid w:val="00DA15A7"/>
    <w:rsid w:val="00E428AE"/>
    <w:rsid w:val="00E834B5"/>
    <w:rsid w:val="00EB6F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702D1"/>
  <w15:docId w15:val="{5178D788-ACD7-498B-9897-BE00A78D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64A"/>
    <w:rPr>
      <w:lang w:bidi="he-IL"/>
    </w:rPr>
  </w:style>
  <w:style w:type="paragraph" w:styleId="Heading1">
    <w:name w:val="heading 1"/>
    <w:basedOn w:val="Normal"/>
    <w:link w:val="Heading1Char"/>
    <w:uiPriority w:val="9"/>
    <w:qFormat/>
    <w:rsid w:val="003801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64A"/>
    <w:rPr>
      <w:rFonts w:ascii="Tahoma" w:hAnsi="Tahoma" w:cs="Tahoma"/>
      <w:sz w:val="16"/>
      <w:szCs w:val="16"/>
      <w:lang w:bidi="he-IL"/>
    </w:rPr>
  </w:style>
  <w:style w:type="paragraph" w:styleId="ListParagraph">
    <w:name w:val="List Paragraph"/>
    <w:basedOn w:val="Normal"/>
    <w:uiPriority w:val="34"/>
    <w:qFormat/>
    <w:rsid w:val="00B67212"/>
    <w:pPr>
      <w:ind w:left="720"/>
      <w:contextualSpacing/>
    </w:pPr>
  </w:style>
  <w:style w:type="character" w:customStyle="1" w:styleId="apple-converted-space">
    <w:name w:val="apple-converted-space"/>
    <w:basedOn w:val="DefaultParagraphFont"/>
    <w:rsid w:val="00B67212"/>
  </w:style>
  <w:style w:type="character" w:customStyle="1" w:styleId="Heading1Char">
    <w:name w:val="Heading 1 Char"/>
    <w:basedOn w:val="DefaultParagraphFont"/>
    <w:link w:val="Heading1"/>
    <w:uiPriority w:val="9"/>
    <w:rsid w:val="003801D5"/>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7F0C62"/>
    <w:rPr>
      <w:color w:val="0000FF" w:themeColor="hyperlink"/>
      <w:u w:val="single"/>
    </w:rPr>
  </w:style>
  <w:style w:type="character" w:styleId="UnresolvedMention">
    <w:name w:val="Unresolved Mention"/>
    <w:basedOn w:val="DefaultParagraphFont"/>
    <w:uiPriority w:val="99"/>
    <w:semiHidden/>
    <w:unhideWhenUsed/>
    <w:rsid w:val="007F0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77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eb.nli.org.il/sites/NLIS/en/ManuScript/Pages/Item.aspx?ItemID=PNX_MANUSCRIPTS990001210440205171&amp;SearchTxt=%D7%AA%D7%9C%D7%9E%D7%95%D7%93%20%D7%91%D7%91%D7%9C%D7%99%20%D7%91%D7%91%D7%90%20%D7%9E%D7%A6%D7%99%D7%A2%D7%90%20Or.%2073"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5</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c:creator>
  <cp:lastModifiedBy>Eli Genauer</cp:lastModifiedBy>
  <cp:revision>14</cp:revision>
  <dcterms:created xsi:type="dcterms:W3CDTF">2016-12-05T20:40:00Z</dcterms:created>
  <dcterms:modified xsi:type="dcterms:W3CDTF">2020-12-15T15:44:00Z</dcterms:modified>
</cp:coreProperties>
</file>