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179C5A" w14:textId="1B7D1ED1" w:rsidR="003255E1" w:rsidRDefault="003255E1" w:rsidP="00794C57">
      <w:r>
        <w:t xml:space="preserve">                                         </w:t>
      </w:r>
      <w:r w:rsidR="00567A96">
        <w:t xml:space="preserve">         </w:t>
      </w:r>
      <w:r>
        <w:t xml:space="preserve">   </w:t>
      </w:r>
      <w:r w:rsidR="00794C57" w:rsidRPr="00794C57">
        <w:rPr>
          <w:rFonts w:cs="Arial"/>
          <w:rtl/>
          <w:lang w:bidi="he-IL"/>
        </w:rPr>
        <w:t>עירובין כ׃ -ציור פרה בהגהות הב״ח</w:t>
      </w:r>
    </w:p>
    <w:p w14:paraId="77CEC7E9" w14:textId="260DF15A" w:rsidR="003255E1" w:rsidRDefault="00567A96" w:rsidP="003255E1">
      <w:r>
        <w:t xml:space="preserve">                                                                            Eli Genauer</w:t>
      </w:r>
      <w:r w:rsidR="00597C8D">
        <w:t xml:space="preserve">    </w:t>
      </w:r>
    </w:p>
    <w:p w14:paraId="2C5B5AF2" w14:textId="0C9CD61D" w:rsidR="005C5D3E" w:rsidRDefault="00597C8D" w:rsidP="003255E1">
      <w:r>
        <w:t xml:space="preserve">  </w:t>
      </w:r>
      <w:r w:rsidR="003255E1">
        <w:t xml:space="preserve">                       </w:t>
      </w:r>
      <w:r w:rsidR="3B5C4A8C">
        <w:t xml:space="preserve">       </w:t>
      </w:r>
      <w:r w:rsidR="003255E1">
        <w:t xml:space="preserve">      </w:t>
      </w:r>
      <w:r w:rsidR="005C5D3E">
        <w:rPr>
          <w:noProof/>
        </w:rPr>
        <w:drawing>
          <wp:inline distT="0" distB="0" distL="0" distR="0" wp14:anchorId="5ECA05C3" wp14:editId="6C5DFCA0">
            <wp:extent cx="2270402" cy="1349371"/>
            <wp:effectExtent l="0" t="0" r="0" b="3810"/>
            <wp:docPr id="9959041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8">
                      <a:extLst>
                        <a:ext uri="{28A0092B-C50C-407E-A947-70E740481C1C}">
                          <a14:useLocalDpi xmlns:a14="http://schemas.microsoft.com/office/drawing/2010/main" val="0"/>
                        </a:ext>
                      </a:extLst>
                    </a:blip>
                    <a:stretch>
                      <a:fillRect/>
                    </a:stretch>
                  </pic:blipFill>
                  <pic:spPr>
                    <a:xfrm>
                      <a:off x="0" y="0"/>
                      <a:ext cx="2270402" cy="1349371"/>
                    </a:xfrm>
                    <a:prstGeom prst="rect">
                      <a:avLst/>
                    </a:prstGeom>
                  </pic:spPr>
                </pic:pic>
              </a:graphicData>
            </a:graphic>
          </wp:inline>
        </w:drawing>
      </w:r>
      <w:r w:rsidR="003255E1">
        <w:t xml:space="preserve">    </w:t>
      </w:r>
    </w:p>
    <w:p w14:paraId="47BCB1DB" w14:textId="77777777" w:rsidR="001D66DB" w:rsidRDefault="001D66DB" w:rsidP="001D66DB">
      <w:r>
        <w:t>Summary</w:t>
      </w:r>
    </w:p>
    <w:p w14:paraId="2D000463" w14:textId="49DECB71" w:rsidR="001D66DB" w:rsidRDefault="003255E1" w:rsidP="001D66DB">
      <w:r>
        <w:t>T</w:t>
      </w:r>
      <w:r w:rsidR="001D66DB">
        <w:t xml:space="preserve">he diagram in the first edition of the Bach </w:t>
      </w:r>
      <w:r>
        <w:t>(</w:t>
      </w:r>
      <w:r w:rsidR="001D66DB">
        <w:t>1824</w:t>
      </w:r>
      <w:r>
        <w:t>)</w:t>
      </w:r>
      <w:r w:rsidR="001D66DB">
        <w:t xml:space="preserve"> is much more accurate than how it is depicted in later editions, especially the Vilna Shas. The Bach’s picture features a long feeding trough</w:t>
      </w:r>
      <w:r w:rsidR="00597C8D">
        <w:t>,</w:t>
      </w:r>
      <w:r w:rsidR="001D66DB">
        <w:t xml:space="preserve"> (an </w:t>
      </w:r>
      <w:r w:rsidR="001D66DB" w:rsidRPr="00BA5C0A">
        <w:rPr>
          <w:rFonts w:cs="Arial"/>
          <w:rtl/>
          <w:lang w:bidi="he-IL"/>
        </w:rPr>
        <w:t>אבוס</w:t>
      </w:r>
      <w:r w:rsidR="00597C8D">
        <w:t>),</w:t>
      </w:r>
      <w:r w:rsidR="001D66DB">
        <w:t xml:space="preserve"> whereas Vilna and others show it looking more like something attached to the animal. The Zhitomir Shas compounds the error by leaving out an essential characteristic of the situation under discussion. The new editions</w:t>
      </w:r>
      <w:r w:rsidR="005633B9">
        <w:t xml:space="preserve"> of the Talmud</w:t>
      </w:r>
      <w:r w:rsidR="001D66DB">
        <w:t xml:space="preserve"> get it much better. The one diagram I found in a manuscript and the diagram in the Soncino Pesaro edition of 1515 (which was based on a manuscript) are very close to the drawing in the Bach </w:t>
      </w:r>
      <w:r>
        <w:t>(</w:t>
      </w:r>
      <w:r w:rsidR="001D66DB">
        <w:t>1824</w:t>
      </w:r>
      <w:r>
        <w:t>)</w:t>
      </w:r>
      <w:r w:rsidR="001D66DB">
        <w:t>.</w:t>
      </w:r>
    </w:p>
    <w:p w14:paraId="74B51E08" w14:textId="77777777" w:rsidR="00541F8E" w:rsidRPr="005633B9" w:rsidRDefault="001D66DB" w:rsidP="005633B9">
      <w:r>
        <w:t xml:space="preserve">The picture in the Bach focuses on the relationship between an animal, its feeding trough and a well. One of the key words here is </w:t>
      </w:r>
      <w:r w:rsidRPr="00BA5C0A">
        <w:rPr>
          <w:rFonts w:cs="Arial"/>
          <w:rtl/>
          <w:lang w:bidi="he-IL"/>
        </w:rPr>
        <w:t>אבוס</w:t>
      </w:r>
      <w:r>
        <w:rPr>
          <w:rFonts w:cs="Arial"/>
          <w:lang w:bidi="he-IL"/>
        </w:rPr>
        <w:t xml:space="preserve"> </w:t>
      </w:r>
      <w:r>
        <w:t xml:space="preserve">which </w:t>
      </w:r>
      <w:r w:rsidR="005633B9">
        <w:t>is the feeding trough</w:t>
      </w:r>
      <w:r>
        <w:t xml:space="preserve">. </w:t>
      </w:r>
      <w:r w:rsidR="00541F8E">
        <w:rPr>
          <w:rStyle w:val="EndnoteReference"/>
        </w:rPr>
        <w:endnoteReference w:id="1"/>
      </w:r>
    </w:p>
    <w:p w14:paraId="634E1177" w14:textId="77777777" w:rsidR="00541F8E" w:rsidRDefault="00541F8E" w:rsidP="00980001">
      <w:pPr>
        <w:bidi/>
      </w:pPr>
      <w:r>
        <w:rPr>
          <w:rFonts w:cs="Arial"/>
          <w:rtl/>
          <w:lang w:bidi="he-IL"/>
        </w:rPr>
        <w:t>מסכת עירובין</w:t>
      </w:r>
      <w:r w:rsidR="00980001">
        <w:t xml:space="preserve"> :</w:t>
      </w:r>
      <w:r>
        <w:rPr>
          <w:rFonts w:cs="Arial"/>
          <w:rtl/>
          <w:lang w:bidi="he-IL"/>
        </w:rPr>
        <w:t>משנה י״ז׃</w:t>
      </w:r>
    </w:p>
    <w:p w14:paraId="02E76EC7" w14:textId="359A98F2" w:rsidR="003255E1" w:rsidRDefault="00541F8E" w:rsidP="003255E1">
      <w:pPr>
        <w:bidi/>
        <w:rPr>
          <w:rFonts w:cs="Arial"/>
          <w:lang w:bidi="he-IL"/>
        </w:rPr>
      </w:pPr>
      <w:r>
        <w:rPr>
          <w:rFonts w:cs="Arial"/>
          <w:rtl/>
          <w:lang w:bidi="he-IL"/>
        </w:rPr>
        <w:t xml:space="preserve">משנה:  </w:t>
      </w:r>
      <w:proofErr w:type="spellStart"/>
      <w:r>
        <w:rPr>
          <w:rFonts w:cs="Arial"/>
          <w:rtl/>
          <w:lang w:bidi="he-IL"/>
        </w:rPr>
        <w:t>עושין</w:t>
      </w:r>
      <w:proofErr w:type="spellEnd"/>
      <w:r>
        <w:rPr>
          <w:rFonts w:cs="Arial"/>
          <w:rtl/>
          <w:lang w:bidi="he-IL"/>
        </w:rPr>
        <w:t xml:space="preserve"> פסין לביראות</w:t>
      </w:r>
      <w:r w:rsidR="003255E1">
        <w:rPr>
          <w:rFonts w:cs="Arial"/>
          <w:lang w:bidi="he-IL"/>
        </w:rPr>
        <w:t xml:space="preserve">                                                                                                               </w:t>
      </w:r>
      <w:r>
        <w:rPr>
          <w:rFonts w:cs="Arial"/>
          <w:lang w:bidi="he-IL"/>
        </w:rPr>
        <w:t>……</w:t>
      </w:r>
      <w:r>
        <w:rPr>
          <w:rFonts w:cs="Arial"/>
          <w:rtl/>
          <w:lang w:bidi="he-IL"/>
        </w:rPr>
        <w:t xml:space="preserve"> </w:t>
      </w:r>
      <w:r w:rsidR="002A36AE">
        <w:rPr>
          <w:rStyle w:val="EndnoteReference"/>
          <w:rFonts w:cs="Arial"/>
          <w:rtl/>
          <w:lang w:bidi="he-IL"/>
        </w:rPr>
        <w:endnoteReference w:id="2"/>
      </w:r>
      <w:r w:rsidR="003255E1">
        <w:rPr>
          <w:rFonts w:cs="Arial"/>
          <w:lang w:bidi="he-IL"/>
        </w:rPr>
        <w:t xml:space="preserve">From </w:t>
      </w:r>
      <w:proofErr w:type="spellStart"/>
      <w:r w:rsidR="003255E1">
        <w:rPr>
          <w:rFonts w:cs="Arial"/>
          <w:lang w:bidi="he-IL"/>
        </w:rPr>
        <w:t>Sefaria</w:t>
      </w:r>
      <w:proofErr w:type="spellEnd"/>
    </w:p>
    <w:p w14:paraId="4E889EE1" w14:textId="16175E43" w:rsidR="00541F8E" w:rsidRDefault="00541F8E" w:rsidP="00456417">
      <w:pPr>
        <w:rPr>
          <w:rFonts w:cs="Arial"/>
          <w:lang w:bidi="he-IL"/>
        </w:rPr>
      </w:pPr>
      <w:r w:rsidRPr="00F26A55">
        <w:rPr>
          <w:rFonts w:cs="Arial"/>
          <w:lang w:bidi="he-IL"/>
        </w:rPr>
        <w:t>MISHNA: One may arrange upright boards [</w:t>
      </w:r>
      <w:proofErr w:type="spellStart"/>
      <w:r>
        <w:rPr>
          <w:rFonts w:cs="Arial"/>
          <w:rtl/>
          <w:lang w:bidi="he-IL"/>
        </w:rPr>
        <w:t>פסין</w:t>
      </w:r>
      <w:proofErr w:type="spellEnd"/>
      <w:r w:rsidRPr="00F26A55">
        <w:rPr>
          <w:rFonts w:cs="Arial"/>
          <w:lang w:bidi="he-IL"/>
        </w:rPr>
        <w:t xml:space="preserve">] around a well </w:t>
      </w:r>
      <w:r w:rsidR="003255E1">
        <w:rPr>
          <w:rFonts w:cs="Arial"/>
          <w:lang w:bidi="he-IL"/>
        </w:rPr>
        <w:t>(</w:t>
      </w:r>
      <w:r w:rsidRPr="00F26A55">
        <w:rPr>
          <w:rFonts w:cs="Arial"/>
          <w:lang w:bidi="he-IL"/>
        </w:rPr>
        <w:t xml:space="preserve">in the </w:t>
      </w:r>
      <w:proofErr w:type="spellStart"/>
      <w:r>
        <w:rPr>
          <w:rFonts w:cs="Arial"/>
          <w:lang w:bidi="he-IL"/>
        </w:rPr>
        <w:t>Reshut</w:t>
      </w:r>
      <w:proofErr w:type="spellEnd"/>
      <w:r>
        <w:rPr>
          <w:rFonts w:cs="Arial"/>
          <w:lang w:bidi="he-IL"/>
        </w:rPr>
        <w:t xml:space="preserve"> </w:t>
      </w:r>
      <w:proofErr w:type="spellStart"/>
      <w:r>
        <w:rPr>
          <w:rFonts w:cs="Arial"/>
          <w:lang w:bidi="he-IL"/>
        </w:rPr>
        <w:t>Harabim</w:t>
      </w:r>
      <w:proofErr w:type="spellEnd"/>
      <w:r w:rsidRPr="00F26A55">
        <w:rPr>
          <w:rFonts w:cs="Arial"/>
          <w:lang w:bidi="he-IL"/>
        </w:rPr>
        <w:t xml:space="preserve"> in order to permit drawing water from the well on Shabbat.</w:t>
      </w:r>
      <w:r w:rsidR="003255E1">
        <w:rPr>
          <w:rFonts w:cs="Arial"/>
          <w:lang w:bidi="he-IL"/>
        </w:rPr>
        <w:t>)</w:t>
      </w:r>
      <w:r w:rsidRPr="00F26A55">
        <w:rPr>
          <w:rFonts w:cs="Arial"/>
          <w:lang w:bidi="he-IL"/>
        </w:rPr>
        <w:t xml:space="preserve"> </w:t>
      </w:r>
      <w:r w:rsidR="003255E1">
        <w:rPr>
          <w:rFonts w:cs="Arial"/>
          <w:lang w:bidi="he-IL"/>
        </w:rPr>
        <w:t>[</w:t>
      </w:r>
      <w:r w:rsidRPr="00F26A55">
        <w:rPr>
          <w:rFonts w:cs="Arial"/>
          <w:lang w:bidi="he-IL"/>
        </w:rPr>
        <w:t xml:space="preserve">A well is usually at least four </w:t>
      </w:r>
      <w:proofErr w:type="spellStart"/>
      <w:r>
        <w:rPr>
          <w:rFonts w:cs="Arial"/>
          <w:lang w:bidi="he-IL"/>
        </w:rPr>
        <w:t>Tefachim</w:t>
      </w:r>
      <w:proofErr w:type="spellEnd"/>
      <w:r w:rsidRPr="00F26A55">
        <w:rPr>
          <w:rFonts w:cs="Arial"/>
          <w:lang w:bidi="he-IL"/>
        </w:rPr>
        <w:t xml:space="preserve"> wide and ten </w:t>
      </w:r>
      <w:proofErr w:type="spellStart"/>
      <w:r>
        <w:rPr>
          <w:rFonts w:cs="Arial"/>
          <w:lang w:bidi="he-IL"/>
        </w:rPr>
        <w:t>Tefachim</w:t>
      </w:r>
      <w:proofErr w:type="spellEnd"/>
      <w:r w:rsidRPr="00F26A55">
        <w:rPr>
          <w:rFonts w:cs="Arial"/>
          <w:lang w:bidi="he-IL"/>
        </w:rPr>
        <w:t xml:space="preserve"> deep. Therefore, it is considered a </w:t>
      </w:r>
      <w:proofErr w:type="spellStart"/>
      <w:r>
        <w:rPr>
          <w:rFonts w:cs="Arial"/>
          <w:lang w:bidi="he-IL"/>
        </w:rPr>
        <w:t>Reshut</w:t>
      </w:r>
      <w:proofErr w:type="spellEnd"/>
      <w:r>
        <w:rPr>
          <w:rFonts w:cs="Arial"/>
          <w:lang w:bidi="he-IL"/>
        </w:rPr>
        <w:t xml:space="preserve"> </w:t>
      </w:r>
      <w:proofErr w:type="spellStart"/>
      <w:r>
        <w:rPr>
          <w:rFonts w:cs="Arial"/>
          <w:lang w:bidi="he-IL"/>
        </w:rPr>
        <w:t>HaYachid</w:t>
      </w:r>
      <w:proofErr w:type="spellEnd"/>
      <w:r w:rsidRPr="00F26A55">
        <w:rPr>
          <w:rFonts w:cs="Arial"/>
          <w:lang w:bidi="he-IL"/>
        </w:rPr>
        <w:t xml:space="preserve">, and it is </w:t>
      </w:r>
      <w:proofErr w:type="spellStart"/>
      <w:r>
        <w:rPr>
          <w:rFonts w:cs="Arial"/>
          <w:lang w:bidi="he-IL"/>
        </w:rPr>
        <w:t>Asur</w:t>
      </w:r>
      <w:proofErr w:type="spellEnd"/>
      <w:r w:rsidRPr="00F26A55">
        <w:rPr>
          <w:rFonts w:cs="Arial"/>
          <w:lang w:bidi="he-IL"/>
        </w:rPr>
        <w:t xml:space="preserve"> to draw water from it on Shabbat, as that would constitute a violation of the prohibition to carry from a </w:t>
      </w:r>
      <w:proofErr w:type="spellStart"/>
      <w:r>
        <w:rPr>
          <w:rFonts w:cs="Arial"/>
          <w:lang w:bidi="he-IL"/>
        </w:rPr>
        <w:t>Reshut</w:t>
      </w:r>
      <w:proofErr w:type="spellEnd"/>
      <w:r>
        <w:rPr>
          <w:rFonts w:cs="Arial"/>
          <w:lang w:bidi="he-IL"/>
        </w:rPr>
        <w:t xml:space="preserve"> </w:t>
      </w:r>
      <w:proofErr w:type="spellStart"/>
      <w:r>
        <w:rPr>
          <w:rFonts w:cs="Arial"/>
          <w:lang w:bidi="he-IL"/>
        </w:rPr>
        <w:t>HaYachid</w:t>
      </w:r>
      <w:proofErr w:type="spellEnd"/>
      <w:r w:rsidRPr="00F26A55">
        <w:rPr>
          <w:rFonts w:cs="Arial"/>
          <w:lang w:bidi="he-IL"/>
        </w:rPr>
        <w:t xml:space="preserve"> into a </w:t>
      </w:r>
      <w:proofErr w:type="spellStart"/>
      <w:r>
        <w:rPr>
          <w:rFonts w:cs="Arial"/>
          <w:lang w:bidi="he-IL"/>
        </w:rPr>
        <w:t>Reshut</w:t>
      </w:r>
      <w:proofErr w:type="spellEnd"/>
      <w:r>
        <w:rPr>
          <w:rFonts w:cs="Arial"/>
          <w:lang w:bidi="he-IL"/>
        </w:rPr>
        <w:t xml:space="preserve"> </w:t>
      </w:r>
      <w:proofErr w:type="spellStart"/>
      <w:r>
        <w:rPr>
          <w:rFonts w:cs="Arial"/>
          <w:lang w:bidi="he-IL"/>
        </w:rPr>
        <w:t>HaRabim</w:t>
      </w:r>
      <w:proofErr w:type="spellEnd"/>
      <w:r w:rsidRPr="00F26A55">
        <w:rPr>
          <w:rFonts w:cs="Arial"/>
          <w:lang w:bidi="he-IL"/>
        </w:rPr>
        <w:t xml:space="preserve">. The </w:t>
      </w:r>
      <w:r>
        <w:rPr>
          <w:rFonts w:cs="Arial"/>
          <w:lang w:bidi="he-IL"/>
        </w:rPr>
        <w:t>Chachamim</w:t>
      </w:r>
      <w:r w:rsidR="002A36AE">
        <w:rPr>
          <w:rFonts w:cs="Arial"/>
          <w:lang w:bidi="he-IL"/>
        </w:rPr>
        <w:t xml:space="preserve"> </w:t>
      </w:r>
      <w:r w:rsidRPr="00F26A55">
        <w:rPr>
          <w:rFonts w:cs="Arial"/>
          <w:lang w:bidi="he-IL"/>
        </w:rPr>
        <w:t>therefore</w:t>
      </w:r>
      <w:r>
        <w:rPr>
          <w:rFonts w:cs="Arial"/>
          <w:lang w:bidi="he-IL"/>
        </w:rPr>
        <w:t xml:space="preserve"> </w:t>
      </w:r>
      <w:r w:rsidR="002A36AE">
        <w:rPr>
          <w:rFonts w:cs="Arial"/>
          <w:lang w:bidi="he-IL"/>
        </w:rPr>
        <w:t xml:space="preserve">sometimes </w:t>
      </w:r>
      <w:r>
        <w:rPr>
          <w:rFonts w:cs="Arial"/>
          <w:lang w:bidi="he-IL"/>
        </w:rPr>
        <w:t xml:space="preserve">made a </w:t>
      </w:r>
      <w:proofErr w:type="spellStart"/>
      <w:r>
        <w:rPr>
          <w:rFonts w:cs="Arial"/>
          <w:lang w:bidi="he-IL"/>
        </w:rPr>
        <w:t>Kulah</w:t>
      </w:r>
      <w:proofErr w:type="spellEnd"/>
      <w:r w:rsidR="002A36AE">
        <w:rPr>
          <w:rFonts w:cs="Arial"/>
          <w:lang w:bidi="he-IL"/>
        </w:rPr>
        <w:t xml:space="preserve"> </w:t>
      </w:r>
      <w:r w:rsidRPr="00F26A55">
        <w:rPr>
          <w:rFonts w:cs="Arial"/>
          <w:lang w:bidi="he-IL"/>
        </w:rPr>
        <w:t xml:space="preserve">that a virtual partition may be built in the area surrounding the well, so that the enclosed area could be considered a </w:t>
      </w:r>
      <w:proofErr w:type="spellStart"/>
      <w:r>
        <w:rPr>
          <w:rFonts w:cs="Arial"/>
          <w:lang w:bidi="he-IL"/>
        </w:rPr>
        <w:t>Reshut</w:t>
      </w:r>
      <w:proofErr w:type="spellEnd"/>
      <w:r>
        <w:rPr>
          <w:rFonts w:cs="Arial"/>
          <w:lang w:bidi="he-IL"/>
        </w:rPr>
        <w:t xml:space="preserve"> </w:t>
      </w:r>
      <w:proofErr w:type="spellStart"/>
      <w:r>
        <w:rPr>
          <w:rFonts w:cs="Arial"/>
          <w:lang w:bidi="he-IL"/>
        </w:rPr>
        <w:t>HaYachid</w:t>
      </w:r>
      <w:proofErr w:type="spellEnd"/>
      <w:r>
        <w:rPr>
          <w:rFonts w:cs="Arial"/>
          <w:lang w:bidi="he-IL"/>
        </w:rPr>
        <w:t>.</w:t>
      </w:r>
      <w:r w:rsidR="003255E1">
        <w:rPr>
          <w:rFonts w:cs="Arial"/>
          <w:lang w:bidi="he-IL"/>
        </w:rPr>
        <w:t>]</w:t>
      </w:r>
    </w:p>
    <w:p w14:paraId="0203F2D8" w14:textId="0328520D" w:rsidR="00541F8E" w:rsidRDefault="00541F8E" w:rsidP="00567A96">
      <w:pPr>
        <w:rPr>
          <w:rFonts w:cs="Arial"/>
          <w:lang w:bidi="he-IL"/>
        </w:rPr>
      </w:pPr>
      <w:proofErr w:type="spellStart"/>
      <w:r>
        <w:rPr>
          <w:rFonts w:cs="Arial"/>
          <w:lang w:bidi="he-IL"/>
        </w:rPr>
        <w:t>Perush</w:t>
      </w:r>
      <w:proofErr w:type="spellEnd"/>
      <w:r>
        <w:rPr>
          <w:rFonts w:cs="Arial"/>
          <w:lang w:bidi="he-IL"/>
        </w:rPr>
        <w:t xml:space="preserve"> Chai </w:t>
      </w:r>
      <w:r w:rsidR="00567A96">
        <w:rPr>
          <w:rFonts w:cs="Arial"/>
          <w:lang w:bidi="he-IL"/>
        </w:rPr>
        <w:t xml:space="preserve"> </w:t>
      </w:r>
      <w:hyperlink r:id="rId9" w:history="1">
        <w:r w:rsidR="00567A96" w:rsidRPr="006A3DA6">
          <w:rPr>
            <w:rStyle w:val="Hyperlink"/>
          </w:rPr>
          <w:t>http://hebrewbooks.org/pdfpager.aspx?req=47535&amp;st=&amp;pgnum=46</w:t>
        </w:r>
      </w:hyperlink>
    </w:p>
    <w:p w14:paraId="6FF9B0D4" w14:textId="77777777" w:rsidR="002A36AE" w:rsidRDefault="00541F8E" w:rsidP="002A36AE">
      <w:pPr>
        <w:rPr>
          <w:rFonts w:cs="Arial"/>
          <w:lang w:bidi="he-IL"/>
        </w:rPr>
      </w:pPr>
      <w:r>
        <w:rPr>
          <w:noProof/>
        </w:rPr>
        <w:drawing>
          <wp:inline distT="0" distB="0" distL="0" distR="0" wp14:anchorId="05A0F96E" wp14:editId="58FF8982">
            <wp:extent cx="2705965" cy="1435184"/>
            <wp:effectExtent l="0" t="0" r="0" b="0"/>
            <wp:docPr id="8203006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0">
                      <a:extLst>
                        <a:ext uri="{28A0092B-C50C-407E-A947-70E740481C1C}">
                          <a14:useLocalDpi xmlns:a14="http://schemas.microsoft.com/office/drawing/2010/main" val="0"/>
                        </a:ext>
                      </a:extLst>
                    </a:blip>
                    <a:stretch>
                      <a:fillRect/>
                    </a:stretch>
                  </pic:blipFill>
                  <pic:spPr>
                    <a:xfrm>
                      <a:off x="0" y="0"/>
                      <a:ext cx="2919202" cy="1548280"/>
                    </a:xfrm>
                    <a:prstGeom prst="rect">
                      <a:avLst/>
                    </a:prstGeom>
                  </pic:spPr>
                </pic:pic>
              </a:graphicData>
            </a:graphic>
          </wp:inline>
        </w:drawing>
      </w:r>
    </w:p>
    <w:p w14:paraId="35EDBAB4" w14:textId="0D0ABCCD" w:rsidR="00541F8E" w:rsidRPr="00541F8E" w:rsidRDefault="00541F8E" w:rsidP="002A36AE">
      <w:pPr>
        <w:rPr>
          <w:rFonts w:cs="Arial"/>
          <w:lang w:bidi="he-IL"/>
        </w:rPr>
      </w:pPr>
      <w:proofErr w:type="spellStart"/>
      <w:r>
        <w:t>Gemara</w:t>
      </w:r>
      <w:proofErr w:type="spellEnd"/>
      <w:r>
        <w:t xml:space="preserve"> on 20b</w:t>
      </w:r>
    </w:p>
    <w:p w14:paraId="7C206394" w14:textId="77777777" w:rsidR="00541F8E" w:rsidRPr="00976D3E" w:rsidRDefault="00541F8E" w:rsidP="001D66DB">
      <w:r>
        <w:lastRenderedPageBreak/>
        <w:t xml:space="preserve">The </w:t>
      </w:r>
      <w:proofErr w:type="spellStart"/>
      <w:r>
        <w:t>Gemara</w:t>
      </w:r>
      <w:proofErr w:type="spellEnd"/>
      <w:r>
        <w:t xml:space="preserve"> discusses a case where the owner fills a bucket and gives water to an animal or fills a bucket and then pours water into a trough from which the animal then drinks</w:t>
      </w:r>
    </w:p>
    <w:p w14:paraId="01991CF4" w14:textId="77777777" w:rsidR="00541F8E" w:rsidRDefault="00541F8E" w:rsidP="001D66DB">
      <w:pPr>
        <w:bidi/>
        <w:rPr>
          <w:rFonts w:cs="Arial"/>
          <w:lang w:bidi="he-IL"/>
        </w:rPr>
      </w:pPr>
      <w:r>
        <w:rPr>
          <w:rFonts w:cs="Arial"/>
          <w:rtl/>
          <w:lang w:bidi="he-IL"/>
        </w:rPr>
        <w:t xml:space="preserve">לא ימלא אדם מים </w:t>
      </w:r>
      <w:proofErr w:type="spellStart"/>
      <w:r>
        <w:rPr>
          <w:rFonts w:cs="Arial"/>
          <w:rtl/>
          <w:lang w:bidi="he-IL"/>
        </w:rPr>
        <w:t>ויתן</w:t>
      </w:r>
      <w:proofErr w:type="spellEnd"/>
      <w:r>
        <w:rPr>
          <w:rFonts w:cs="Arial"/>
          <w:rtl/>
          <w:lang w:bidi="he-IL"/>
        </w:rPr>
        <w:t xml:space="preserve"> בשבת לפני בהמתו</w:t>
      </w:r>
      <w:r>
        <w:rPr>
          <w:rFonts w:cs="Arial"/>
          <w:lang w:bidi="he-IL"/>
        </w:rPr>
        <w:t>,</w:t>
      </w:r>
      <w:r>
        <w:rPr>
          <w:rFonts w:cs="Arial"/>
          <w:rtl/>
          <w:lang w:bidi="he-IL"/>
        </w:rPr>
        <w:t xml:space="preserve"> אבל ממלא הוא ושופך והיא שותה מאיליה</w:t>
      </w:r>
    </w:p>
    <w:p w14:paraId="69F87D9A" w14:textId="1931BACA" w:rsidR="00541F8E" w:rsidRDefault="00541F8E" w:rsidP="001D66DB">
      <w:r w:rsidRPr="00473A37">
        <w:t xml:space="preserve">A person may not fill a bucket with water and hold it before his animal on Shabbat; but he may fill it and pour it out </w:t>
      </w:r>
      <w:r w:rsidR="00C645E9">
        <w:t>(</w:t>
      </w:r>
      <w:r w:rsidRPr="00473A37">
        <w:t>into a trough</w:t>
      </w:r>
      <w:r>
        <w:t>.</w:t>
      </w:r>
      <w:r w:rsidR="00C645E9">
        <w:t>)</w:t>
      </w:r>
      <w:r>
        <w:t xml:space="preserve"> The animal then </w:t>
      </w:r>
      <w:r w:rsidRPr="00473A37">
        <w:t>drinks of its own accord</w:t>
      </w:r>
      <w:r>
        <w:t>.</w:t>
      </w:r>
    </w:p>
    <w:p w14:paraId="7CF7694A" w14:textId="77777777" w:rsidR="00541F8E" w:rsidRDefault="00541F8E" w:rsidP="001D66DB">
      <w:pPr>
        <w:bidi/>
        <w:rPr>
          <w:rFonts w:cs="Arial"/>
          <w:lang w:bidi="he-IL"/>
        </w:rPr>
      </w:pPr>
      <w:r>
        <w:rPr>
          <w:rFonts w:cs="Arial"/>
          <w:rtl/>
          <w:lang w:bidi="he-IL"/>
        </w:rPr>
        <w:t xml:space="preserve">הא </w:t>
      </w:r>
      <w:proofErr w:type="spellStart"/>
      <w:r>
        <w:rPr>
          <w:rFonts w:cs="Arial"/>
          <w:rtl/>
          <w:lang w:bidi="he-IL"/>
        </w:rPr>
        <w:t>אתמר</w:t>
      </w:r>
      <w:proofErr w:type="spellEnd"/>
      <w:r>
        <w:rPr>
          <w:rFonts w:cs="Arial"/>
          <w:rtl/>
          <w:lang w:bidi="he-IL"/>
        </w:rPr>
        <w:t xml:space="preserve"> עלה אמר </w:t>
      </w:r>
      <w:proofErr w:type="spellStart"/>
      <w:r>
        <w:rPr>
          <w:rFonts w:cs="Arial"/>
          <w:rtl/>
          <w:lang w:bidi="he-IL"/>
        </w:rPr>
        <w:t>אביי</w:t>
      </w:r>
      <w:proofErr w:type="spellEnd"/>
      <w:r>
        <w:rPr>
          <w:rFonts w:cs="Arial"/>
          <w:rtl/>
          <w:lang w:bidi="he-IL"/>
        </w:rPr>
        <w:t xml:space="preserve"> הכא באבוס העומד ברשות הרבים גבוה עשרה טפחים ורוחב ארבעה וראשו אחד נכנס לבין </w:t>
      </w:r>
      <w:proofErr w:type="spellStart"/>
      <w:r>
        <w:rPr>
          <w:rFonts w:cs="Arial"/>
          <w:rtl/>
          <w:lang w:bidi="he-IL"/>
        </w:rPr>
        <w:t>הפסין</w:t>
      </w:r>
      <w:proofErr w:type="spellEnd"/>
    </w:p>
    <w:p w14:paraId="3A8F3A36" w14:textId="77777777" w:rsidR="00541F8E" w:rsidRDefault="00541F8E" w:rsidP="001D66DB">
      <w:r w:rsidRPr="00473A37">
        <w:t xml:space="preserve">The </w:t>
      </w:r>
      <w:proofErr w:type="spellStart"/>
      <w:r w:rsidRPr="00473A37">
        <w:t>Gemara</w:t>
      </w:r>
      <w:proofErr w:type="spellEnd"/>
      <w:r w:rsidRPr="00473A37">
        <w:t xml:space="preserve"> </w:t>
      </w:r>
      <w:r>
        <w:t>qualifies the case of pouring water into a trough by saying that the above Baraita is</w:t>
      </w:r>
      <w:r w:rsidRPr="00473A37">
        <w:t xml:space="preserve"> dealing with a cow standing inside a house with windows open to the </w:t>
      </w:r>
      <w:proofErr w:type="spellStart"/>
      <w:r>
        <w:t>Reshut</w:t>
      </w:r>
      <w:proofErr w:type="spellEnd"/>
      <w:r>
        <w:t xml:space="preserve"> </w:t>
      </w:r>
      <w:proofErr w:type="spellStart"/>
      <w:r>
        <w:t>HaRabim</w:t>
      </w:r>
      <w:proofErr w:type="spellEnd"/>
      <w:r w:rsidRPr="00473A37">
        <w:t xml:space="preserve">, </w:t>
      </w:r>
      <w:r w:rsidRPr="0042787F">
        <w:t>eating from a trough</w:t>
      </w:r>
      <w:r w:rsidRPr="00473A37">
        <w:t xml:space="preserve"> that stands in the</w:t>
      </w:r>
      <w:r>
        <w:t xml:space="preserve"> </w:t>
      </w:r>
      <w:proofErr w:type="spellStart"/>
      <w:r>
        <w:t>Reshut</w:t>
      </w:r>
      <w:proofErr w:type="spellEnd"/>
      <w:r>
        <w:t xml:space="preserve"> </w:t>
      </w:r>
      <w:proofErr w:type="spellStart"/>
      <w:r>
        <w:t>HaRabim</w:t>
      </w:r>
      <w:proofErr w:type="spellEnd"/>
      <w:r w:rsidRPr="00473A37">
        <w:t xml:space="preserve"> that is ten </w:t>
      </w:r>
      <w:proofErr w:type="spellStart"/>
      <w:r>
        <w:t>tefachim</w:t>
      </w:r>
      <w:proofErr w:type="spellEnd"/>
      <w:r w:rsidRPr="00473A37">
        <w:t xml:space="preserve"> high and four </w:t>
      </w:r>
      <w:proofErr w:type="spellStart"/>
      <w:r>
        <w:t>tefachim</w:t>
      </w:r>
      <w:proofErr w:type="spellEnd"/>
      <w:r w:rsidRPr="00473A37">
        <w:t xml:space="preserve"> wide, </w:t>
      </w:r>
      <w:r>
        <w:t>( meaning it is</w:t>
      </w:r>
      <w:r w:rsidRPr="00473A37">
        <w:t xml:space="preserve"> </w:t>
      </w:r>
      <w:r>
        <w:t xml:space="preserve">a </w:t>
      </w:r>
      <w:proofErr w:type="spellStart"/>
      <w:r>
        <w:t>Reshut</w:t>
      </w:r>
      <w:proofErr w:type="spellEnd"/>
      <w:r>
        <w:t xml:space="preserve"> </w:t>
      </w:r>
      <w:proofErr w:type="spellStart"/>
      <w:r>
        <w:t>HaYachid</w:t>
      </w:r>
      <w:proofErr w:type="spellEnd"/>
      <w:r>
        <w:t>)</w:t>
      </w:r>
      <w:r w:rsidRPr="00473A37">
        <w:t xml:space="preserve">, and one end of this </w:t>
      </w:r>
      <w:r>
        <w:t>trough</w:t>
      </w:r>
      <w:r w:rsidRPr="00473A37">
        <w:t xml:space="preserve"> </w:t>
      </w:r>
      <w:r>
        <w:t>extends</w:t>
      </w:r>
      <w:r w:rsidRPr="00473A37">
        <w:t xml:space="preserve"> into the area between the upright boards surrounding a well</w:t>
      </w:r>
      <w:r>
        <w:t>. Here is what it looks like.</w:t>
      </w:r>
    </w:p>
    <w:p w14:paraId="23B90D0D" w14:textId="77777777" w:rsidR="00541F8E" w:rsidRDefault="00541F8E" w:rsidP="001D66DB">
      <w:r>
        <w:t>Source: Chavruta English</w:t>
      </w:r>
    </w:p>
    <w:p w14:paraId="0D3660A0" w14:textId="77777777" w:rsidR="00541F8E" w:rsidRDefault="00552992" w:rsidP="001D66DB">
      <w:hyperlink r:id="rId11" w:history="1">
        <w:r w:rsidR="00541F8E">
          <w:rPr>
            <w:rStyle w:val="Hyperlink"/>
          </w:rPr>
          <w:t>http://files.daf-yomi.com/klali/lilmod/chavruta-english-eruvin1.pdf</w:t>
        </w:r>
      </w:hyperlink>
      <w:r w:rsidR="00541F8E">
        <w:t xml:space="preserve"> page 14</w:t>
      </w:r>
    </w:p>
    <w:p w14:paraId="7A2596BD" w14:textId="77777777" w:rsidR="00541F8E" w:rsidRDefault="00541F8E" w:rsidP="001D66DB">
      <w:r>
        <w:rPr>
          <w:noProof/>
        </w:rPr>
        <w:drawing>
          <wp:inline distT="0" distB="0" distL="0" distR="0" wp14:anchorId="539C91DA" wp14:editId="586DD004">
            <wp:extent cx="3858915" cy="3303917"/>
            <wp:effectExtent l="19050" t="0" r="8235" b="0"/>
            <wp:docPr id="172577383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12">
                      <a:extLst>
                        <a:ext uri="{28A0092B-C50C-407E-A947-70E740481C1C}">
                          <a14:useLocalDpi xmlns:a14="http://schemas.microsoft.com/office/drawing/2010/main" val="0"/>
                        </a:ext>
                      </a:extLst>
                    </a:blip>
                    <a:stretch>
                      <a:fillRect/>
                    </a:stretch>
                  </pic:blipFill>
                  <pic:spPr>
                    <a:xfrm>
                      <a:off x="0" y="0"/>
                      <a:ext cx="3858915" cy="3303917"/>
                    </a:xfrm>
                    <a:prstGeom prst="rect">
                      <a:avLst/>
                    </a:prstGeom>
                  </pic:spPr>
                </pic:pic>
              </a:graphicData>
            </a:graphic>
          </wp:inline>
        </w:drawing>
      </w:r>
    </w:p>
    <w:p w14:paraId="0F14CED8" w14:textId="77777777" w:rsidR="00541F8E" w:rsidRDefault="00541F8E" w:rsidP="001D66DB">
      <w:pPr>
        <w:bidi/>
        <w:rPr>
          <w:rFonts w:cs="Arial"/>
          <w:lang w:bidi="he-IL"/>
        </w:rPr>
      </w:pPr>
    </w:p>
    <w:p w14:paraId="2C4FE373" w14:textId="77777777" w:rsidR="00541F8E" w:rsidRDefault="00541F8E" w:rsidP="0077018F">
      <w:pPr>
        <w:bidi/>
        <w:rPr>
          <w:rFonts w:cs="Arial"/>
          <w:lang w:bidi="he-IL"/>
        </w:rPr>
      </w:pPr>
    </w:p>
    <w:p w14:paraId="0FD58859" w14:textId="77777777" w:rsidR="00541F8E" w:rsidRDefault="00541F8E" w:rsidP="0077018F">
      <w:pPr>
        <w:bidi/>
        <w:rPr>
          <w:rFonts w:cs="Arial"/>
          <w:lang w:bidi="he-IL"/>
        </w:rPr>
      </w:pPr>
    </w:p>
    <w:p w14:paraId="0DDC8272" w14:textId="77777777" w:rsidR="00541F8E" w:rsidRDefault="00541F8E" w:rsidP="0077018F">
      <w:pPr>
        <w:bidi/>
        <w:rPr>
          <w:rFonts w:cs="Arial"/>
          <w:lang w:bidi="he-IL"/>
        </w:rPr>
      </w:pPr>
    </w:p>
    <w:p w14:paraId="5F850729" w14:textId="77777777" w:rsidR="00541F8E" w:rsidRDefault="00541F8E" w:rsidP="0077018F">
      <w:pPr>
        <w:bidi/>
      </w:pPr>
      <w:r w:rsidRPr="00473A37">
        <w:rPr>
          <w:rFonts w:cs="Arial"/>
          <w:rtl/>
          <w:lang w:bidi="he-IL"/>
        </w:rPr>
        <w:t>רש״י</w:t>
      </w:r>
      <w:r>
        <w:rPr>
          <w:rFonts w:cs="Arial"/>
          <w:lang w:bidi="he-IL"/>
        </w:rPr>
        <w:t xml:space="preserve"> -</w:t>
      </w:r>
      <w:r w:rsidRPr="00473A37">
        <w:rPr>
          <w:rFonts w:cs="Arial"/>
          <w:rtl/>
          <w:lang w:bidi="he-IL"/>
        </w:rPr>
        <w:t xml:space="preserve">הא איתמר עלה </w:t>
      </w:r>
      <w:proofErr w:type="spellStart"/>
      <w:r w:rsidRPr="00473A37">
        <w:rPr>
          <w:rFonts w:cs="Arial"/>
          <w:rtl/>
          <w:lang w:bidi="he-IL"/>
        </w:rPr>
        <w:t>כו</w:t>
      </w:r>
      <w:proofErr w:type="spellEnd"/>
      <w:r w:rsidRPr="00473A37">
        <w:t>'</w:t>
      </w:r>
    </w:p>
    <w:p w14:paraId="0D708F22" w14:textId="77777777" w:rsidR="00541F8E" w:rsidRDefault="00541F8E" w:rsidP="001D66DB">
      <w:pPr>
        <w:bidi/>
      </w:pPr>
      <w:r w:rsidRPr="00A87946">
        <w:rPr>
          <w:rFonts w:cs="Arial"/>
          <w:rtl/>
          <w:lang w:bidi="he-IL"/>
        </w:rPr>
        <w:lastRenderedPageBreak/>
        <w:t xml:space="preserve">הא איתמר עלה </w:t>
      </w:r>
      <w:proofErr w:type="spellStart"/>
      <w:r w:rsidRPr="00A87946">
        <w:rPr>
          <w:rFonts w:cs="Arial"/>
          <w:rtl/>
          <w:lang w:bidi="he-IL"/>
        </w:rPr>
        <w:t>כו</w:t>
      </w:r>
      <w:proofErr w:type="spellEnd"/>
      <w:r w:rsidRPr="00A87946">
        <w:rPr>
          <w:rFonts w:cs="Arial"/>
          <w:rtl/>
          <w:lang w:bidi="he-IL"/>
        </w:rPr>
        <w:t xml:space="preserve">' - כלומר כי בעינן ראשה ורובה </w:t>
      </w:r>
      <w:proofErr w:type="spellStart"/>
      <w:r w:rsidRPr="00A87946">
        <w:rPr>
          <w:rFonts w:cs="Arial"/>
          <w:rtl/>
          <w:lang w:bidi="he-IL"/>
        </w:rPr>
        <w:t>בדלא</w:t>
      </w:r>
      <w:proofErr w:type="spellEnd"/>
      <w:r w:rsidRPr="00A87946">
        <w:rPr>
          <w:rFonts w:cs="Arial"/>
          <w:rtl/>
          <w:lang w:bidi="he-IL"/>
        </w:rPr>
        <w:t xml:space="preserve"> </w:t>
      </w:r>
      <w:proofErr w:type="spellStart"/>
      <w:r w:rsidRPr="00A87946">
        <w:rPr>
          <w:rFonts w:cs="Arial"/>
          <w:rtl/>
          <w:lang w:bidi="he-IL"/>
        </w:rPr>
        <w:t>נקיט</w:t>
      </w:r>
      <w:proofErr w:type="spellEnd"/>
      <w:r w:rsidRPr="00A87946">
        <w:rPr>
          <w:rFonts w:cs="Arial"/>
          <w:rtl/>
          <w:lang w:bidi="he-IL"/>
        </w:rPr>
        <w:t xml:space="preserve"> לה</w:t>
      </w:r>
      <w:r w:rsidRPr="00186449">
        <w:rPr>
          <w:rFonts w:cs="Arial"/>
          <w:rtl/>
          <w:lang w:bidi="he-IL"/>
        </w:rPr>
        <w:t xml:space="preserve"> וכי הוי ראשה ורובה שרי </w:t>
      </w:r>
      <w:proofErr w:type="spellStart"/>
      <w:r w:rsidRPr="00186449">
        <w:rPr>
          <w:rFonts w:cs="Arial"/>
          <w:rtl/>
          <w:lang w:bidi="he-IL"/>
        </w:rPr>
        <w:t>וברייתא</w:t>
      </w:r>
      <w:proofErr w:type="spellEnd"/>
      <w:r w:rsidRPr="00186449">
        <w:rPr>
          <w:rFonts w:cs="Arial"/>
          <w:rtl/>
          <w:lang w:bidi="he-IL"/>
        </w:rPr>
        <w:t xml:space="preserve"> </w:t>
      </w:r>
      <w:proofErr w:type="spellStart"/>
      <w:r w:rsidRPr="00186449">
        <w:rPr>
          <w:rFonts w:cs="Arial"/>
          <w:rtl/>
          <w:lang w:bidi="he-IL"/>
        </w:rPr>
        <w:t>דקתני</w:t>
      </w:r>
      <w:proofErr w:type="spellEnd"/>
      <w:r w:rsidRPr="00186449">
        <w:rPr>
          <w:rFonts w:cs="Arial"/>
          <w:rtl/>
          <w:lang w:bidi="he-IL"/>
        </w:rPr>
        <w:t xml:space="preserve"> לא ימלא </w:t>
      </w:r>
      <w:proofErr w:type="spellStart"/>
      <w:r w:rsidRPr="00186449">
        <w:rPr>
          <w:rFonts w:cs="Arial"/>
          <w:rtl/>
          <w:lang w:bidi="he-IL"/>
        </w:rPr>
        <w:t>ויתן</w:t>
      </w:r>
      <w:proofErr w:type="spellEnd"/>
      <w:r w:rsidRPr="00186449">
        <w:rPr>
          <w:rFonts w:cs="Arial"/>
          <w:rtl/>
          <w:lang w:bidi="he-IL"/>
        </w:rPr>
        <w:t xml:space="preserve"> הוא עצמו לבהמתו הא תרצה </w:t>
      </w:r>
      <w:proofErr w:type="spellStart"/>
      <w:r w:rsidRPr="00186449">
        <w:rPr>
          <w:rFonts w:cs="Arial"/>
          <w:rtl/>
          <w:lang w:bidi="he-IL"/>
        </w:rPr>
        <w:t>אביי</w:t>
      </w:r>
      <w:proofErr w:type="spellEnd"/>
      <w:r w:rsidRPr="00186449">
        <w:rPr>
          <w:rFonts w:cs="Arial"/>
          <w:rtl/>
          <w:lang w:bidi="he-IL"/>
        </w:rPr>
        <w:t xml:space="preserve"> לקמן </w:t>
      </w:r>
      <w:proofErr w:type="spellStart"/>
      <w:r w:rsidRPr="00473A37">
        <w:rPr>
          <w:rFonts w:cs="Arial"/>
          <w:rtl/>
          <w:lang w:bidi="he-IL"/>
        </w:rPr>
        <w:t>דלאו</w:t>
      </w:r>
      <w:proofErr w:type="spellEnd"/>
      <w:r w:rsidRPr="00473A37">
        <w:rPr>
          <w:rFonts w:cs="Arial"/>
          <w:rtl/>
          <w:lang w:bidi="he-IL"/>
        </w:rPr>
        <w:t xml:space="preserve"> בבהמה העומדת ברה"ר וראשה ורובה בין </w:t>
      </w:r>
      <w:proofErr w:type="spellStart"/>
      <w:r w:rsidRPr="00473A37">
        <w:rPr>
          <w:rFonts w:cs="Arial"/>
          <w:rtl/>
          <w:lang w:bidi="he-IL"/>
        </w:rPr>
        <w:t>הפסין</w:t>
      </w:r>
      <w:proofErr w:type="spellEnd"/>
      <w:r w:rsidRPr="00473A37">
        <w:rPr>
          <w:rFonts w:cs="Arial"/>
          <w:rtl/>
          <w:lang w:bidi="he-IL"/>
        </w:rPr>
        <w:t xml:space="preserve"> עסקינן אלא </w:t>
      </w:r>
      <w:r w:rsidRPr="00A87946">
        <w:rPr>
          <w:rFonts w:cs="Arial"/>
          <w:b/>
          <w:bCs/>
          <w:rtl/>
          <w:lang w:bidi="he-IL"/>
        </w:rPr>
        <w:t xml:space="preserve">בבהמה העומדת בבית וחלונות פתוחות לה לרה"ר </w:t>
      </w:r>
      <w:proofErr w:type="spellStart"/>
      <w:r w:rsidRPr="00A87946">
        <w:rPr>
          <w:rFonts w:cs="Arial"/>
          <w:b/>
          <w:bCs/>
          <w:rtl/>
          <w:lang w:bidi="he-IL"/>
        </w:rPr>
        <w:t>ואיבוס</w:t>
      </w:r>
      <w:proofErr w:type="spellEnd"/>
      <w:r w:rsidRPr="00A87946">
        <w:rPr>
          <w:rFonts w:cs="Arial"/>
          <w:b/>
          <w:bCs/>
          <w:rtl/>
          <w:lang w:bidi="he-IL"/>
        </w:rPr>
        <w:t xml:space="preserve"> מתוקן לה</w:t>
      </w:r>
      <w:r w:rsidRPr="00A87946">
        <w:rPr>
          <w:rFonts w:cs="Arial"/>
          <w:b/>
          <w:bCs/>
          <w:i/>
          <w:iCs/>
          <w:rtl/>
          <w:lang w:bidi="he-IL"/>
        </w:rPr>
        <w:t xml:space="preserve"> </w:t>
      </w:r>
      <w:r w:rsidRPr="00A87946">
        <w:rPr>
          <w:rFonts w:cs="Arial"/>
          <w:b/>
          <w:bCs/>
          <w:i/>
          <w:iCs/>
          <w:lang w:bidi="he-IL"/>
        </w:rPr>
        <w:t>)</w:t>
      </w:r>
      <w:r w:rsidRPr="00A87946">
        <w:rPr>
          <w:rFonts w:cs="Arial"/>
          <w:b/>
          <w:bCs/>
          <w:i/>
          <w:iCs/>
          <w:rtl/>
          <w:lang w:bidi="he-IL"/>
        </w:rPr>
        <w:t>ב</w:t>
      </w:r>
      <w:r w:rsidRPr="00A87946">
        <w:rPr>
          <w:rFonts w:cs="Arial"/>
          <w:b/>
          <w:bCs/>
          <w:i/>
          <w:iCs/>
          <w:lang w:bidi="he-IL"/>
        </w:rPr>
        <w:t>”</w:t>
      </w:r>
      <w:r w:rsidRPr="00A87946">
        <w:rPr>
          <w:rFonts w:cs="Arial"/>
          <w:b/>
          <w:bCs/>
          <w:i/>
          <w:iCs/>
          <w:rtl/>
          <w:lang w:bidi="he-IL"/>
        </w:rPr>
        <w:t>ח</w:t>
      </w:r>
      <w:r w:rsidRPr="00A87946">
        <w:rPr>
          <w:rFonts w:cs="Arial"/>
          <w:b/>
          <w:bCs/>
          <w:i/>
          <w:iCs/>
          <w:lang w:bidi="he-IL"/>
        </w:rPr>
        <w:t>(</w:t>
      </w:r>
      <w:r w:rsidRPr="00A87946">
        <w:rPr>
          <w:rFonts w:cs="Arial"/>
          <w:b/>
          <w:bCs/>
          <w:lang w:bidi="he-IL"/>
        </w:rPr>
        <w:t xml:space="preserve"> </w:t>
      </w:r>
      <w:r w:rsidRPr="00A87946">
        <w:rPr>
          <w:rFonts w:cs="Arial"/>
          <w:b/>
          <w:bCs/>
          <w:rtl/>
          <w:lang w:bidi="he-IL"/>
        </w:rPr>
        <w:t xml:space="preserve">לפניה ברה"ר גבוה י' ורחב ד' דהוי רה"י ונותן לה שם תבן ומספוא מרה"י וראש </w:t>
      </w:r>
      <w:proofErr w:type="spellStart"/>
      <w:r w:rsidRPr="00A87946">
        <w:rPr>
          <w:rFonts w:cs="Arial"/>
          <w:b/>
          <w:bCs/>
          <w:rtl/>
          <w:lang w:bidi="he-IL"/>
        </w:rPr>
        <w:t>האיבוס</w:t>
      </w:r>
      <w:proofErr w:type="spellEnd"/>
      <w:r w:rsidRPr="00A87946">
        <w:rPr>
          <w:rFonts w:cs="Arial"/>
          <w:b/>
          <w:bCs/>
          <w:rtl/>
          <w:lang w:bidi="he-IL"/>
        </w:rPr>
        <w:t xml:space="preserve"> נכנס לבין </w:t>
      </w:r>
      <w:proofErr w:type="spellStart"/>
      <w:r w:rsidRPr="00A87946">
        <w:rPr>
          <w:rFonts w:cs="Arial"/>
          <w:b/>
          <w:bCs/>
          <w:rtl/>
          <w:lang w:bidi="he-IL"/>
        </w:rPr>
        <w:t>הפסין</w:t>
      </w:r>
      <w:proofErr w:type="spellEnd"/>
      <w:r w:rsidRPr="00473A37">
        <w:rPr>
          <w:rFonts w:cs="Arial"/>
          <w:rtl/>
          <w:lang w:bidi="he-IL"/>
        </w:rPr>
        <w:t xml:space="preserve"> </w:t>
      </w:r>
      <w:proofErr w:type="spellStart"/>
      <w:r w:rsidRPr="00473A37">
        <w:rPr>
          <w:rFonts w:cs="Arial"/>
          <w:rtl/>
          <w:lang w:bidi="he-IL"/>
        </w:rPr>
        <w:t>ואשמעינן</w:t>
      </w:r>
      <w:proofErr w:type="spellEnd"/>
      <w:r w:rsidRPr="00473A37">
        <w:rPr>
          <w:rFonts w:cs="Arial"/>
          <w:rtl/>
          <w:lang w:bidi="he-IL"/>
        </w:rPr>
        <w:t xml:space="preserve"> דלא ימלא מן הבור ויגביה הדלי על ראש </w:t>
      </w:r>
      <w:proofErr w:type="spellStart"/>
      <w:r w:rsidRPr="00473A37">
        <w:rPr>
          <w:rFonts w:cs="Arial"/>
          <w:rtl/>
          <w:lang w:bidi="he-IL"/>
        </w:rPr>
        <w:t>האיבוס</w:t>
      </w:r>
      <w:proofErr w:type="spellEnd"/>
      <w:r w:rsidRPr="00473A37">
        <w:rPr>
          <w:rFonts w:cs="Arial"/>
          <w:rtl/>
          <w:lang w:bidi="he-IL"/>
        </w:rPr>
        <w:t xml:space="preserve"> וילך דרך רה"ר ויטלטל הדלי על </w:t>
      </w:r>
      <w:proofErr w:type="spellStart"/>
      <w:r w:rsidRPr="00473A37">
        <w:rPr>
          <w:rFonts w:cs="Arial"/>
          <w:rtl/>
          <w:lang w:bidi="he-IL"/>
        </w:rPr>
        <w:t>האיבוס</w:t>
      </w:r>
      <w:proofErr w:type="spellEnd"/>
      <w:r w:rsidRPr="00473A37">
        <w:rPr>
          <w:rFonts w:cs="Arial"/>
          <w:rtl/>
          <w:lang w:bidi="he-IL"/>
        </w:rPr>
        <w:t xml:space="preserve"> לפני בהמה ואע"ג </w:t>
      </w:r>
      <w:proofErr w:type="spellStart"/>
      <w:r w:rsidRPr="00473A37">
        <w:rPr>
          <w:rFonts w:cs="Arial"/>
          <w:rtl/>
          <w:lang w:bidi="he-IL"/>
        </w:rPr>
        <w:t>דקיי"ל</w:t>
      </w:r>
      <w:proofErr w:type="spellEnd"/>
      <w:r w:rsidRPr="00473A37">
        <w:rPr>
          <w:rFonts w:cs="Arial"/>
          <w:rtl/>
          <w:lang w:bidi="he-IL"/>
        </w:rPr>
        <w:t xml:space="preserve"> עומד אדם ברה"ר ומטלטל ברה"י </w:t>
      </w:r>
      <w:proofErr w:type="spellStart"/>
      <w:r w:rsidRPr="00473A37">
        <w:rPr>
          <w:rFonts w:cs="Arial"/>
          <w:rtl/>
          <w:lang w:bidi="he-IL"/>
        </w:rPr>
        <w:t>בהמוצא</w:t>
      </w:r>
      <w:proofErr w:type="spellEnd"/>
      <w:r w:rsidRPr="00473A37">
        <w:rPr>
          <w:rFonts w:cs="Arial"/>
          <w:rtl/>
          <w:lang w:bidi="he-IL"/>
        </w:rPr>
        <w:t xml:space="preserve"> תפילין (לקמן עירובין ד' צח:). הכא אסור</w:t>
      </w:r>
      <w:r w:rsidRPr="00473A37">
        <w:t>:</w:t>
      </w:r>
    </w:p>
    <w:p w14:paraId="48655ADF" w14:textId="77777777" w:rsidR="00541F8E" w:rsidRDefault="00541F8E" w:rsidP="001D66DB">
      <w:r>
        <w:t xml:space="preserve">The portion of </w:t>
      </w:r>
      <w:proofErr w:type="spellStart"/>
      <w:r>
        <w:t>Rashi</w:t>
      </w:r>
      <w:proofErr w:type="spellEnd"/>
      <w:r>
        <w:t xml:space="preserve"> relevant to the diagram in the Bach is in bold</w:t>
      </w:r>
    </w:p>
    <w:p w14:paraId="735BF7BF" w14:textId="77777777" w:rsidR="00541F8E" w:rsidRDefault="00541F8E" w:rsidP="001D66DB">
      <w:pPr>
        <w:rPr>
          <w:rFonts w:cs="Arial"/>
          <w:lang w:bidi="he-IL"/>
        </w:rPr>
      </w:pPr>
      <w:r w:rsidRPr="00473A37">
        <w:rPr>
          <w:rFonts w:cs="Arial"/>
          <w:rtl/>
          <w:lang w:bidi="he-IL"/>
        </w:rPr>
        <w:t>בבהמה העומדת בבית</w:t>
      </w:r>
      <w:r>
        <w:rPr>
          <w:rFonts w:cs="Arial"/>
          <w:lang w:bidi="he-IL"/>
        </w:rPr>
        <w:t xml:space="preserve"> – It is a case where the animal is standing in the house which has windows open to the </w:t>
      </w:r>
      <w:proofErr w:type="spellStart"/>
      <w:r>
        <w:rPr>
          <w:rFonts w:cs="Arial"/>
          <w:lang w:bidi="he-IL"/>
        </w:rPr>
        <w:t>Reshut</w:t>
      </w:r>
      <w:proofErr w:type="spellEnd"/>
      <w:r>
        <w:rPr>
          <w:rFonts w:cs="Arial"/>
          <w:lang w:bidi="he-IL"/>
        </w:rPr>
        <w:t xml:space="preserve"> </w:t>
      </w:r>
      <w:proofErr w:type="spellStart"/>
      <w:r>
        <w:rPr>
          <w:rFonts w:cs="Arial"/>
          <w:lang w:bidi="he-IL"/>
        </w:rPr>
        <w:t>HaRabim</w:t>
      </w:r>
      <w:proofErr w:type="spellEnd"/>
      <w:r>
        <w:rPr>
          <w:rFonts w:cs="Arial"/>
          <w:lang w:bidi="he-IL"/>
        </w:rPr>
        <w:t xml:space="preserve"> and a trough is positioned in front of it in the </w:t>
      </w:r>
      <w:proofErr w:type="spellStart"/>
      <w:r>
        <w:rPr>
          <w:rFonts w:cs="Arial"/>
          <w:lang w:bidi="he-IL"/>
        </w:rPr>
        <w:t>Reshut</w:t>
      </w:r>
      <w:proofErr w:type="spellEnd"/>
      <w:r>
        <w:rPr>
          <w:rFonts w:cs="Arial"/>
          <w:lang w:bidi="he-IL"/>
        </w:rPr>
        <w:t xml:space="preserve"> </w:t>
      </w:r>
      <w:proofErr w:type="spellStart"/>
      <w:r>
        <w:rPr>
          <w:rFonts w:cs="Arial"/>
          <w:lang w:bidi="he-IL"/>
        </w:rPr>
        <w:t>HaRabim</w:t>
      </w:r>
      <w:proofErr w:type="spellEnd"/>
      <w:r>
        <w:rPr>
          <w:rFonts w:cs="Arial"/>
          <w:lang w:bidi="he-IL"/>
        </w:rPr>
        <w:t xml:space="preserve"> and it is 10 </w:t>
      </w:r>
      <w:proofErr w:type="spellStart"/>
      <w:r>
        <w:rPr>
          <w:rFonts w:cs="Arial"/>
          <w:lang w:bidi="he-IL"/>
        </w:rPr>
        <w:t>tefachim</w:t>
      </w:r>
      <w:proofErr w:type="spellEnd"/>
      <w:r>
        <w:rPr>
          <w:rFonts w:cs="Arial"/>
          <w:lang w:bidi="he-IL"/>
        </w:rPr>
        <w:t xml:space="preserve"> high and 4 </w:t>
      </w:r>
      <w:proofErr w:type="spellStart"/>
      <w:r>
        <w:rPr>
          <w:rFonts w:cs="Arial"/>
          <w:lang w:bidi="he-IL"/>
        </w:rPr>
        <w:t>tefachim</w:t>
      </w:r>
      <w:proofErr w:type="spellEnd"/>
      <w:r>
        <w:rPr>
          <w:rFonts w:cs="Arial"/>
          <w:lang w:bidi="he-IL"/>
        </w:rPr>
        <w:t xml:space="preserve"> wide which makes it a </w:t>
      </w:r>
      <w:proofErr w:type="spellStart"/>
      <w:r>
        <w:rPr>
          <w:rFonts w:cs="Arial"/>
          <w:lang w:bidi="he-IL"/>
        </w:rPr>
        <w:t>Reshut</w:t>
      </w:r>
      <w:proofErr w:type="spellEnd"/>
      <w:r>
        <w:rPr>
          <w:rFonts w:cs="Arial"/>
          <w:lang w:bidi="he-IL"/>
        </w:rPr>
        <w:t xml:space="preserve"> </w:t>
      </w:r>
      <w:proofErr w:type="spellStart"/>
      <w:r>
        <w:rPr>
          <w:rFonts w:cs="Arial"/>
          <w:lang w:bidi="he-IL"/>
        </w:rPr>
        <w:t>HaYachid</w:t>
      </w:r>
      <w:proofErr w:type="spellEnd"/>
      <w:r>
        <w:rPr>
          <w:rFonts w:cs="Arial"/>
          <w:lang w:bidi="he-IL"/>
        </w:rPr>
        <w:t>, and the owner puts animal feed(</w:t>
      </w:r>
      <w:r w:rsidRPr="00A87946">
        <w:rPr>
          <w:rFonts w:cs="Arial"/>
          <w:rtl/>
          <w:lang w:bidi="he-IL"/>
        </w:rPr>
        <w:t>תבן ומספוא</w:t>
      </w:r>
      <w:r>
        <w:rPr>
          <w:rFonts w:cs="Arial"/>
          <w:lang w:bidi="he-IL"/>
        </w:rPr>
        <w:t xml:space="preserve">) into the trough in the </w:t>
      </w:r>
      <w:proofErr w:type="spellStart"/>
      <w:r>
        <w:rPr>
          <w:rFonts w:cs="Arial"/>
          <w:lang w:bidi="he-IL"/>
        </w:rPr>
        <w:t>Reshut</w:t>
      </w:r>
      <w:proofErr w:type="spellEnd"/>
      <w:r>
        <w:rPr>
          <w:rFonts w:cs="Arial"/>
          <w:lang w:bidi="he-IL"/>
        </w:rPr>
        <w:t xml:space="preserve"> </w:t>
      </w:r>
      <w:proofErr w:type="spellStart"/>
      <w:r>
        <w:rPr>
          <w:rFonts w:cs="Arial"/>
          <w:lang w:bidi="he-IL"/>
        </w:rPr>
        <w:t>HaYachid</w:t>
      </w:r>
      <w:proofErr w:type="spellEnd"/>
      <w:r>
        <w:rPr>
          <w:rFonts w:cs="Arial"/>
          <w:lang w:bidi="he-IL"/>
        </w:rPr>
        <w:t xml:space="preserve"> and the front portion of the trough enters into the area between the upright boards (</w:t>
      </w:r>
      <w:r w:rsidRPr="00A87946">
        <w:rPr>
          <w:rFonts w:cs="Arial"/>
          <w:rtl/>
          <w:lang w:bidi="he-IL"/>
        </w:rPr>
        <w:t xml:space="preserve">בין </w:t>
      </w:r>
      <w:proofErr w:type="spellStart"/>
      <w:r w:rsidRPr="00A87946">
        <w:rPr>
          <w:rFonts w:cs="Arial"/>
          <w:rtl/>
          <w:lang w:bidi="he-IL"/>
        </w:rPr>
        <w:t>הפסין</w:t>
      </w:r>
      <w:proofErr w:type="spellEnd"/>
      <w:r>
        <w:rPr>
          <w:rFonts w:cs="Arial"/>
          <w:lang w:bidi="he-IL"/>
        </w:rPr>
        <w:t>)</w:t>
      </w:r>
    </w:p>
    <w:p w14:paraId="2A3C5951" w14:textId="506ADA3C" w:rsidR="00541F8E" w:rsidRDefault="00541F8E" w:rsidP="0059539C">
      <w:pPr>
        <w:rPr>
          <w:rFonts w:cs="Arial"/>
          <w:lang w:bidi="he-IL"/>
        </w:rPr>
      </w:pPr>
      <w:r>
        <w:rPr>
          <w:rFonts w:cs="Arial"/>
          <w:lang w:bidi="he-IL"/>
        </w:rPr>
        <w:t>In the Vilna Shas</w:t>
      </w:r>
      <w:r w:rsidR="00C50B37">
        <w:rPr>
          <w:rFonts w:cs="Arial"/>
          <w:lang w:bidi="he-IL"/>
        </w:rPr>
        <w:t xml:space="preserve"> (</w:t>
      </w:r>
      <w:r w:rsidR="00C645E9">
        <w:rPr>
          <w:rFonts w:cs="Arial"/>
          <w:lang w:bidi="he-IL"/>
        </w:rPr>
        <w:t>Eruvi</w:t>
      </w:r>
      <w:r w:rsidR="00C50B37">
        <w:rPr>
          <w:rFonts w:cs="Arial"/>
          <w:lang w:bidi="he-IL"/>
        </w:rPr>
        <w:t>n,</w:t>
      </w:r>
      <w:r w:rsidR="00C645E9">
        <w:rPr>
          <w:rFonts w:cs="Arial"/>
          <w:lang w:bidi="he-IL"/>
        </w:rPr>
        <w:t>188</w:t>
      </w:r>
      <w:r w:rsidR="00C50B37">
        <w:rPr>
          <w:rFonts w:cs="Arial"/>
          <w:lang w:bidi="he-IL"/>
        </w:rPr>
        <w:t>1</w:t>
      </w:r>
      <w:r w:rsidR="00C645E9">
        <w:rPr>
          <w:rFonts w:cs="Arial"/>
          <w:lang w:bidi="he-IL"/>
        </w:rPr>
        <w:t>)</w:t>
      </w:r>
      <w:r>
        <w:rPr>
          <w:rFonts w:cs="Arial"/>
          <w:lang w:bidi="he-IL"/>
        </w:rPr>
        <w:t xml:space="preserve"> in the middle of this description</w:t>
      </w:r>
      <w:r w:rsidR="00C645E9">
        <w:rPr>
          <w:rFonts w:cs="Arial"/>
          <w:lang w:bidi="he-IL"/>
        </w:rPr>
        <w:t xml:space="preserve"> in </w:t>
      </w:r>
      <w:proofErr w:type="spellStart"/>
      <w:r w:rsidR="00C645E9">
        <w:rPr>
          <w:rFonts w:cs="Arial"/>
          <w:lang w:bidi="he-IL"/>
        </w:rPr>
        <w:t>Rashi</w:t>
      </w:r>
      <w:proofErr w:type="spellEnd"/>
      <w:r>
        <w:rPr>
          <w:rFonts w:cs="Arial"/>
          <w:lang w:bidi="he-IL"/>
        </w:rPr>
        <w:t xml:space="preserve">, there is an indication to look at the </w:t>
      </w:r>
      <w:proofErr w:type="spellStart"/>
      <w:r>
        <w:rPr>
          <w:rFonts w:cs="Arial"/>
          <w:lang w:bidi="he-IL"/>
        </w:rPr>
        <w:t>Hagahot</w:t>
      </w:r>
      <w:proofErr w:type="spellEnd"/>
      <w:r>
        <w:rPr>
          <w:rFonts w:cs="Arial"/>
          <w:lang w:bidi="he-IL"/>
        </w:rPr>
        <w:t xml:space="preserve"> </w:t>
      </w:r>
      <w:proofErr w:type="spellStart"/>
      <w:r>
        <w:rPr>
          <w:rFonts w:cs="Arial"/>
          <w:lang w:bidi="he-IL"/>
        </w:rPr>
        <w:t>HaBach</w:t>
      </w:r>
      <w:proofErr w:type="spellEnd"/>
      <w:r>
        <w:rPr>
          <w:rFonts w:cs="Arial"/>
          <w:lang w:bidi="he-IL"/>
        </w:rPr>
        <w:t>.</w:t>
      </w:r>
    </w:p>
    <w:p w14:paraId="683B46E0" w14:textId="77777777" w:rsidR="00541F8E" w:rsidRDefault="00541F8E" w:rsidP="0059539C">
      <w:pPr>
        <w:rPr>
          <w:rFonts w:cs="Arial"/>
          <w:lang w:bidi="he-IL"/>
        </w:rPr>
      </w:pPr>
      <w:r>
        <w:rPr>
          <w:rFonts w:cs="Arial"/>
          <w:lang w:bidi="he-IL"/>
        </w:rPr>
        <w:t xml:space="preserve">The </w:t>
      </w:r>
      <w:proofErr w:type="spellStart"/>
      <w:r>
        <w:rPr>
          <w:rFonts w:cs="Arial"/>
          <w:lang w:bidi="he-IL"/>
        </w:rPr>
        <w:t>Hagahot</w:t>
      </w:r>
      <w:proofErr w:type="spellEnd"/>
      <w:r>
        <w:rPr>
          <w:rFonts w:cs="Arial"/>
          <w:lang w:bidi="he-IL"/>
        </w:rPr>
        <w:t xml:space="preserve"> </w:t>
      </w:r>
      <w:proofErr w:type="spellStart"/>
      <w:r>
        <w:rPr>
          <w:rFonts w:cs="Arial"/>
          <w:lang w:bidi="he-IL"/>
        </w:rPr>
        <w:t>HaBach</w:t>
      </w:r>
      <w:proofErr w:type="spellEnd"/>
      <w:r>
        <w:rPr>
          <w:rFonts w:cs="Arial"/>
          <w:lang w:bidi="he-IL"/>
        </w:rPr>
        <w:t xml:space="preserve"> are </w:t>
      </w:r>
      <w:r w:rsidRPr="005806F9">
        <w:rPr>
          <w:rFonts w:cs="Arial"/>
          <w:lang w:bidi="he-IL"/>
        </w:rPr>
        <w:t xml:space="preserve">suggestions for textual emendations in the Talmud and </w:t>
      </w:r>
      <w:proofErr w:type="spellStart"/>
      <w:r w:rsidRPr="005806F9">
        <w:rPr>
          <w:rFonts w:cs="Arial"/>
          <w:lang w:bidi="he-IL"/>
        </w:rPr>
        <w:t>Rashi</w:t>
      </w:r>
      <w:proofErr w:type="spellEnd"/>
      <w:r w:rsidRPr="005806F9">
        <w:rPr>
          <w:rFonts w:cs="Arial"/>
          <w:lang w:bidi="he-IL"/>
        </w:rPr>
        <w:t>, copied from the notes that the author added to his copy of the Talmud</w:t>
      </w:r>
      <w:r>
        <w:rPr>
          <w:rFonts w:cs="Arial"/>
          <w:lang w:bidi="he-IL"/>
        </w:rPr>
        <w:t>. The Bach died in 1640 but these suggested emendations were not printed until 1824</w:t>
      </w:r>
    </w:p>
    <w:p w14:paraId="331178E3" w14:textId="77777777" w:rsidR="00541F8E" w:rsidRDefault="00541F8E" w:rsidP="0059539C">
      <w:pPr>
        <w:rPr>
          <w:rFonts w:cs="Arial"/>
          <w:lang w:bidi="he-IL"/>
        </w:rPr>
      </w:pPr>
      <w:r>
        <w:rPr>
          <w:rFonts w:cs="Arial"/>
          <w:lang w:bidi="he-IL"/>
        </w:rPr>
        <w:t xml:space="preserve">The picture is in the bottom right corner of the </w:t>
      </w:r>
      <w:proofErr w:type="spellStart"/>
      <w:r>
        <w:rPr>
          <w:rFonts w:cs="Arial"/>
          <w:lang w:bidi="he-IL"/>
        </w:rPr>
        <w:t>Daf</w:t>
      </w:r>
      <w:proofErr w:type="spellEnd"/>
      <w:r>
        <w:rPr>
          <w:rFonts w:cs="Arial"/>
          <w:lang w:bidi="he-IL"/>
        </w:rPr>
        <w:t xml:space="preserve"> and looks like this</w:t>
      </w:r>
    </w:p>
    <w:p w14:paraId="4057581C" w14:textId="77777777" w:rsidR="00541F8E" w:rsidRDefault="3B5C4A8C" w:rsidP="005C5D3E">
      <w:pPr>
        <w:rPr>
          <w:rFonts w:cs="Arial"/>
          <w:lang w:bidi="he-IL"/>
        </w:rPr>
      </w:pPr>
      <w:r w:rsidRPr="3B5C4A8C">
        <w:rPr>
          <w:noProof/>
        </w:rPr>
        <w:t xml:space="preserve"> </w:t>
      </w:r>
      <w:r w:rsidR="00541F8E">
        <w:rPr>
          <w:noProof/>
        </w:rPr>
        <w:drawing>
          <wp:inline distT="0" distB="0" distL="0" distR="0" wp14:anchorId="27AC7C51" wp14:editId="4A81A94C">
            <wp:extent cx="1099605" cy="2456819"/>
            <wp:effectExtent l="19050" t="0" r="5295" b="0"/>
            <wp:docPr id="13263768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3">
                      <a:extLst>
                        <a:ext uri="{28A0092B-C50C-407E-A947-70E740481C1C}">
                          <a14:useLocalDpi xmlns:a14="http://schemas.microsoft.com/office/drawing/2010/main" val="0"/>
                        </a:ext>
                      </a:extLst>
                    </a:blip>
                    <a:stretch>
                      <a:fillRect/>
                    </a:stretch>
                  </pic:blipFill>
                  <pic:spPr>
                    <a:xfrm>
                      <a:off x="0" y="0"/>
                      <a:ext cx="1099605" cy="2456819"/>
                    </a:xfrm>
                    <a:prstGeom prst="rect">
                      <a:avLst/>
                    </a:prstGeom>
                  </pic:spPr>
                </pic:pic>
              </a:graphicData>
            </a:graphic>
          </wp:inline>
        </w:drawing>
      </w:r>
      <w:r w:rsidRPr="3B5C4A8C">
        <w:rPr>
          <w:rFonts w:cs="Arial"/>
          <w:lang w:bidi="he-IL"/>
        </w:rPr>
        <w:t>Here it is straightened out</w:t>
      </w:r>
      <w:r w:rsidR="00541F8E">
        <w:rPr>
          <w:noProof/>
        </w:rPr>
        <w:drawing>
          <wp:inline distT="0" distB="0" distL="0" distR="0" wp14:anchorId="25966238" wp14:editId="4444999C">
            <wp:extent cx="2270402" cy="1349371"/>
            <wp:effectExtent l="0" t="0" r="0" b="3810"/>
            <wp:docPr id="10646042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8">
                      <a:extLst>
                        <a:ext uri="{28A0092B-C50C-407E-A947-70E740481C1C}">
                          <a14:useLocalDpi xmlns:a14="http://schemas.microsoft.com/office/drawing/2010/main" val="0"/>
                        </a:ext>
                      </a:extLst>
                    </a:blip>
                    <a:stretch>
                      <a:fillRect/>
                    </a:stretch>
                  </pic:blipFill>
                  <pic:spPr>
                    <a:xfrm>
                      <a:off x="0" y="0"/>
                      <a:ext cx="2270402" cy="1349371"/>
                    </a:xfrm>
                    <a:prstGeom prst="rect">
                      <a:avLst/>
                    </a:prstGeom>
                  </pic:spPr>
                </pic:pic>
              </a:graphicData>
            </a:graphic>
          </wp:inline>
        </w:drawing>
      </w:r>
    </w:p>
    <w:p w14:paraId="71DBF420" w14:textId="77777777" w:rsidR="00541F8E" w:rsidRDefault="00541F8E" w:rsidP="0059539C">
      <w:pPr>
        <w:rPr>
          <w:rFonts w:cs="Arial"/>
          <w:lang w:bidi="he-IL"/>
        </w:rPr>
      </w:pPr>
      <w:r>
        <w:rPr>
          <w:rFonts w:cs="Arial"/>
          <w:lang w:bidi="he-IL"/>
        </w:rPr>
        <w:t xml:space="preserve">It has all the elements mentioned in </w:t>
      </w:r>
      <w:proofErr w:type="spellStart"/>
      <w:r>
        <w:rPr>
          <w:rFonts w:cs="Arial"/>
          <w:lang w:bidi="he-IL"/>
        </w:rPr>
        <w:t>Rashi</w:t>
      </w:r>
      <w:proofErr w:type="spellEnd"/>
      <w:r>
        <w:rPr>
          <w:rFonts w:cs="Arial"/>
          <w:lang w:bidi="he-IL"/>
        </w:rPr>
        <w:t xml:space="preserve">…an animal standing in a house (with a window) connected in some way to an </w:t>
      </w:r>
      <w:r>
        <w:rPr>
          <w:rFonts w:cs="Arial"/>
          <w:rtl/>
          <w:lang w:bidi="he-IL"/>
        </w:rPr>
        <w:t>אבוס</w:t>
      </w:r>
      <w:r>
        <w:rPr>
          <w:rFonts w:cs="Arial"/>
          <w:lang w:bidi="he-IL"/>
        </w:rPr>
        <w:t xml:space="preserve"> which extends through the </w:t>
      </w:r>
      <w:proofErr w:type="spellStart"/>
      <w:r>
        <w:rPr>
          <w:rFonts w:cs="Arial"/>
          <w:lang w:bidi="he-IL"/>
        </w:rPr>
        <w:t>Reshut</w:t>
      </w:r>
      <w:proofErr w:type="spellEnd"/>
      <w:r>
        <w:rPr>
          <w:rFonts w:cs="Arial"/>
          <w:lang w:bidi="he-IL"/>
        </w:rPr>
        <w:t xml:space="preserve"> </w:t>
      </w:r>
      <w:proofErr w:type="spellStart"/>
      <w:r>
        <w:rPr>
          <w:rFonts w:cs="Arial"/>
          <w:lang w:bidi="he-IL"/>
        </w:rPr>
        <w:t>HaRabim</w:t>
      </w:r>
      <w:proofErr w:type="spellEnd"/>
      <w:r>
        <w:rPr>
          <w:rFonts w:cs="Arial"/>
          <w:lang w:bidi="he-IL"/>
        </w:rPr>
        <w:t xml:space="preserve"> and into the area between the upright posts surrounding the well. Nevertheless, I had two issues with this depiction</w:t>
      </w:r>
    </w:p>
    <w:p w14:paraId="1E31542E" w14:textId="77777777" w:rsidR="00541F8E" w:rsidRDefault="00541F8E" w:rsidP="00793448">
      <w:pPr>
        <w:pStyle w:val="ListParagraph"/>
        <w:numPr>
          <w:ilvl w:val="0"/>
          <w:numId w:val="1"/>
        </w:numPr>
        <w:rPr>
          <w:rFonts w:cs="Arial"/>
          <w:lang w:bidi="he-IL"/>
        </w:rPr>
      </w:pPr>
      <w:r>
        <w:rPr>
          <w:rFonts w:cs="Arial"/>
          <w:lang w:bidi="he-IL"/>
        </w:rPr>
        <w:t xml:space="preserve">Did the Bach really draw a picture of an animal in his </w:t>
      </w:r>
      <w:proofErr w:type="spellStart"/>
      <w:r>
        <w:rPr>
          <w:rFonts w:cs="Arial"/>
          <w:lang w:bidi="he-IL"/>
        </w:rPr>
        <w:t>Gemara</w:t>
      </w:r>
      <w:proofErr w:type="spellEnd"/>
      <w:r>
        <w:rPr>
          <w:rFonts w:cs="Arial"/>
          <w:lang w:bidi="he-IL"/>
        </w:rPr>
        <w:t>?</w:t>
      </w:r>
    </w:p>
    <w:p w14:paraId="6577398E" w14:textId="4E906878" w:rsidR="00541F8E" w:rsidRDefault="00541F8E" w:rsidP="00793448">
      <w:pPr>
        <w:pStyle w:val="ListParagraph"/>
        <w:numPr>
          <w:ilvl w:val="0"/>
          <w:numId w:val="1"/>
        </w:numPr>
        <w:rPr>
          <w:rFonts w:cs="Arial"/>
          <w:lang w:bidi="he-IL"/>
        </w:rPr>
      </w:pPr>
      <w:r>
        <w:rPr>
          <w:rFonts w:cs="Arial"/>
          <w:lang w:bidi="he-IL"/>
        </w:rPr>
        <w:t xml:space="preserve">The </w:t>
      </w:r>
      <w:r>
        <w:rPr>
          <w:rFonts w:cs="Arial"/>
          <w:rtl/>
          <w:lang w:bidi="he-IL"/>
        </w:rPr>
        <w:t>אבוס</w:t>
      </w:r>
      <w:r>
        <w:rPr>
          <w:rFonts w:cs="Arial"/>
          <w:lang w:bidi="he-IL"/>
        </w:rPr>
        <w:t xml:space="preserve"> does not look like </w:t>
      </w:r>
      <w:r w:rsidR="00C645E9">
        <w:rPr>
          <w:rFonts w:cs="Arial"/>
          <w:lang w:bidi="he-IL"/>
        </w:rPr>
        <w:t>a trough</w:t>
      </w:r>
      <w:r>
        <w:rPr>
          <w:rFonts w:cs="Arial"/>
          <w:lang w:bidi="he-IL"/>
        </w:rPr>
        <w:t xml:space="preserve"> positioned on the ground that has substantial </w:t>
      </w:r>
      <w:r w:rsidR="00C50B37">
        <w:rPr>
          <w:rFonts w:cs="Arial"/>
          <w:lang w:bidi="he-IL"/>
        </w:rPr>
        <w:t>dimensions. (10</w:t>
      </w:r>
      <w:r>
        <w:rPr>
          <w:rFonts w:cs="Arial"/>
          <w:lang w:bidi="he-IL"/>
        </w:rPr>
        <w:t xml:space="preserve"> </w:t>
      </w:r>
      <w:proofErr w:type="spellStart"/>
      <w:r>
        <w:rPr>
          <w:rFonts w:cs="Arial"/>
          <w:lang w:bidi="he-IL"/>
        </w:rPr>
        <w:t>tefachim</w:t>
      </w:r>
      <w:proofErr w:type="spellEnd"/>
      <w:r>
        <w:rPr>
          <w:rFonts w:cs="Arial"/>
          <w:lang w:bidi="he-IL"/>
        </w:rPr>
        <w:t xml:space="preserve"> high and 4 </w:t>
      </w:r>
      <w:proofErr w:type="spellStart"/>
      <w:r>
        <w:rPr>
          <w:rFonts w:cs="Arial"/>
          <w:lang w:bidi="he-IL"/>
        </w:rPr>
        <w:t>tefachim</w:t>
      </w:r>
      <w:proofErr w:type="spellEnd"/>
      <w:r>
        <w:rPr>
          <w:rFonts w:cs="Arial"/>
          <w:lang w:bidi="he-IL"/>
        </w:rPr>
        <w:t xml:space="preserve"> wide). </w:t>
      </w:r>
    </w:p>
    <w:p w14:paraId="67F11805" w14:textId="60541E66" w:rsidR="00541F8E" w:rsidRDefault="00541F8E" w:rsidP="005806F9">
      <w:pPr>
        <w:rPr>
          <w:rFonts w:cs="Arial"/>
          <w:lang w:bidi="he-IL"/>
        </w:rPr>
      </w:pPr>
      <w:r>
        <w:rPr>
          <w:rFonts w:cs="Arial"/>
          <w:lang w:bidi="he-IL"/>
        </w:rPr>
        <w:t xml:space="preserve">In the first edition of the </w:t>
      </w:r>
      <w:proofErr w:type="spellStart"/>
      <w:r>
        <w:rPr>
          <w:rFonts w:cs="Arial"/>
          <w:lang w:bidi="he-IL"/>
        </w:rPr>
        <w:t>Hagahot</w:t>
      </w:r>
      <w:proofErr w:type="spellEnd"/>
      <w:r>
        <w:rPr>
          <w:rFonts w:cs="Arial"/>
          <w:lang w:bidi="he-IL"/>
        </w:rPr>
        <w:t xml:space="preserve"> </w:t>
      </w:r>
      <w:proofErr w:type="spellStart"/>
      <w:r>
        <w:rPr>
          <w:rFonts w:cs="Arial"/>
          <w:lang w:bidi="he-IL"/>
        </w:rPr>
        <w:t>HaBach</w:t>
      </w:r>
      <w:proofErr w:type="spellEnd"/>
      <w:r>
        <w:rPr>
          <w:rFonts w:cs="Arial"/>
          <w:lang w:bidi="he-IL"/>
        </w:rPr>
        <w:t xml:space="preserve"> ( Warsaw 1824), the picture looks like this:</w:t>
      </w:r>
      <w:r>
        <w:rPr>
          <w:rStyle w:val="EndnoteReference"/>
          <w:rFonts w:cs="Arial"/>
          <w:lang w:bidi="he-IL"/>
        </w:rPr>
        <w:endnoteReference w:id="3"/>
      </w:r>
    </w:p>
    <w:p w14:paraId="27336A89" w14:textId="77777777" w:rsidR="00541F8E" w:rsidRDefault="00541F8E" w:rsidP="00456417">
      <w:pPr>
        <w:rPr>
          <w:rFonts w:cs="Arial"/>
          <w:lang w:bidi="he-IL"/>
        </w:rPr>
      </w:pPr>
      <w:r w:rsidRPr="007A4BB1">
        <w:rPr>
          <w:rFonts w:cs="Arial"/>
          <w:noProof/>
          <w:lang w:bidi="he-IL"/>
        </w:rPr>
        <w:lastRenderedPageBreak/>
        <w:drawing>
          <wp:inline distT="0" distB="0" distL="0" distR="0" wp14:anchorId="3FA5FDAB" wp14:editId="5E017252">
            <wp:extent cx="1637193" cy="2647855"/>
            <wp:effectExtent l="19050" t="0" r="1107" b="0"/>
            <wp:docPr id="41" name="Picture 5" descr="C:\Users\Eli\AppData\Local\Microsoft\Windows\Temporary Internet Files\Content.Word\IMG_8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AppData\Local\Microsoft\Windows\Temporary Internet Files\Content.Word\IMG_8351.jpg"/>
                    <pic:cNvPicPr>
                      <a:picLocks noChangeAspect="1" noChangeArrowheads="1"/>
                    </pic:cNvPicPr>
                  </pic:nvPicPr>
                  <pic:blipFill>
                    <a:blip r:embed="rId14" cstate="print"/>
                    <a:srcRect/>
                    <a:stretch>
                      <a:fillRect/>
                    </a:stretch>
                  </pic:blipFill>
                  <pic:spPr bwMode="auto">
                    <a:xfrm>
                      <a:off x="0" y="0"/>
                      <a:ext cx="1637638" cy="2648575"/>
                    </a:xfrm>
                    <a:prstGeom prst="rect">
                      <a:avLst/>
                    </a:prstGeom>
                    <a:noFill/>
                    <a:ln w="9525">
                      <a:noFill/>
                      <a:miter lim="800000"/>
                      <a:headEnd/>
                      <a:tailEnd/>
                    </a:ln>
                  </pic:spPr>
                </pic:pic>
              </a:graphicData>
            </a:graphic>
          </wp:inline>
        </w:drawing>
      </w:r>
      <w:r>
        <w:rPr>
          <w:rFonts w:cs="Arial"/>
          <w:lang w:bidi="he-IL"/>
        </w:rPr>
        <w:t xml:space="preserve">  </w:t>
      </w:r>
      <w:r w:rsidRPr="007A4BB1">
        <w:rPr>
          <w:rFonts w:cs="Arial"/>
          <w:noProof/>
          <w:lang w:bidi="he-IL"/>
        </w:rPr>
        <w:drawing>
          <wp:inline distT="0" distB="0" distL="0" distR="0" wp14:anchorId="788B8E86" wp14:editId="1CE7A99C">
            <wp:extent cx="4031052" cy="2360860"/>
            <wp:effectExtent l="19050" t="0" r="7548"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2745" cy="2367708"/>
                    </a:xfrm>
                    <a:prstGeom prst="rect">
                      <a:avLst/>
                    </a:prstGeom>
                    <a:noFill/>
                    <a:ln>
                      <a:noFill/>
                    </a:ln>
                  </pic:spPr>
                </pic:pic>
              </a:graphicData>
            </a:graphic>
          </wp:inline>
        </w:drawing>
      </w:r>
    </w:p>
    <w:p w14:paraId="7A8AC0C3" w14:textId="77777777" w:rsidR="00541F8E" w:rsidRDefault="00541F8E" w:rsidP="00456417">
      <w:pPr>
        <w:rPr>
          <w:rFonts w:cs="Arial"/>
          <w:lang w:bidi="he-IL"/>
        </w:rPr>
      </w:pPr>
      <w:r>
        <w:rPr>
          <w:rFonts w:cs="Arial"/>
          <w:lang w:bidi="he-IL"/>
        </w:rPr>
        <w:t xml:space="preserve">We have all the elements described in </w:t>
      </w:r>
      <w:proofErr w:type="spellStart"/>
      <w:r>
        <w:rPr>
          <w:rFonts w:cs="Arial"/>
          <w:lang w:bidi="he-IL"/>
        </w:rPr>
        <w:t>Rashi</w:t>
      </w:r>
      <w:proofErr w:type="spellEnd"/>
      <w:r>
        <w:rPr>
          <w:rFonts w:cs="Arial"/>
          <w:lang w:bidi="he-IL"/>
        </w:rPr>
        <w:t xml:space="preserve">, but the house and animal are depicted by words rather than pictures. The crucial </w:t>
      </w:r>
      <w:r>
        <w:rPr>
          <w:rFonts w:cs="Arial"/>
          <w:rtl/>
          <w:lang w:bidi="he-IL"/>
        </w:rPr>
        <w:t>אבוס</w:t>
      </w:r>
      <w:r>
        <w:rPr>
          <w:rFonts w:cs="Arial"/>
          <w:lang w:bidi="he-IL"/>
        </w:rPr>
        <w:t xml:space="preserve"> could easily be a feeding trough which stands on the ground and has significant enough dimensions to make it a </w:t>
      </w:r>
      <w:proofErr w:type="spellStart"/>
      <w:r>
        <w:rPr>
          <w:rFonts w:cs="Arial"/>
          <w:lang w:bidi="he-IL"/>
        </w:rPr>
        <w:t>Reshut</w:t>
      </w:r>
      <w:proofErr w:type="spellEnd"/>
      <w:r>
        <w:rPr>
          <w:rFonts w:cs="Arial"/>
          <w:lang w:bidi="he-IL"/>
        </w:rPr>
        <w:t xml:space="preserve"> </w:t>
      </w:r>
      <w:proofErr w:type="spellStart"/>
      <w:r>
        <w:rPr>
          <w:rFonts w:cs="Arial"/>
          <w:lang w:bidi="he-IL"/>
        </w:rPr>
        <w:t>HaYachid</w:t>
      </w:r>
      <w:proofErr w:type="spellEnd"/>
      <w:r>
        <w:rPr>
          <w:rFonts w:cs="Arial"/>
          <w:lang w:bidi="he-IL"/>
        </w:rPr>
        <w:t xml:space="preserve">. I find this depiction a more accurate one than what appeared in the Vilna Shas. </w:t>
      </w:r>
    </w:p>
    <w:p w14:paraId="3812057B" w14:textId="407121AE" w:rsidR="00541F8E" w:rsidRDefault="00541F8E" w:rsidP="00541F8E">
      <w:pPr>
        <w:rPr>
          <w:rFonts w:cs="Arial"/>
          <w:lang w:bidi="he-IL"/>
        </w:rPr>
      </w:pPr>
      <w:r>
        <w:rPr>
          <w:rFonts w:cs="Arial"/>
          <w:lang w:bidi="he-IL"/>
        </w:rPr>
        <w:t xml:space="preserve">What was the origin of the depiction in the Bach? We know that the Bach emended the text based </w:t>
      </w:r>
      <w:r w:rsidR="00C645E9">
        <w:rPr>
          <w:rFonts w:cs="Arial"/>
          <w:lang w:bidi="he-IL"/>
        </w:rPr>
        <w:t>on manuscripts</w:t>
      </w:r>
      <w:r>
        <w:rPr>
          <w:rFonts w:cs="Arial"/>
          <w:lang w:bidi="he-IL"/>
        </w:rPr>
        <w:t xml:space="preserve"> he had, or by using his logic to arrive at the proper text.</w:t>
      </w:r>
      <w:r>
        <w:rPr>
          <w:rStyle w:val="EndnoteReference"/>
          <w:rFonts w:cs="Arial"/>
          <w:lang w:bidi="he-IL"/>
        </w:rPr>
        <w:endnoteReference w:id="4"/>
      </w:r>
      <w:r>
        <w:rPr>
          <w:rFonts w:cs="Arial"/>
          <w:lang w:bidi="he-IL"/>
        </w:rPr>
        <w:t xml:space="preserve"> It would be nice if we could find a manuscript with a similar depiction, as this might give us a clue to the source of the Bach. Fortunately, there are two such sources. </w:t>
      </w:r>
      <w:r>
        <w:rPr>
          <w:rStyle w:val="EndnoteReference"/>
          <w:rFonts w:cs="Arial"/>
          <w:lang w:bidi="he-IL"/>
        </w:rPr>
        <w:endnoteReference w:id="5"/>
      </w:r>
    </w:p>
    <w:p w14:paraId="26691747" w14:textId="64B2200C" w:rsidR="00541F8E" w:rsidRDefault="00541F8E" w:rsidP="00541F8E">
      <w:pPr>
        <w:rPr>
          <w:rFonts w:cs="Arial"/>
          <w:lang w:bidi="he-IL"/>
        </w:rPr>
      </w:pPr>
      <w:r>
        <w:rPr>
          <w:rFonts w:cs="Arial"/>
          <w:lang w:bidi="he-IL"/>
        </w:rPr>
        <w:t>Source #1</w:t>
      </w:r>
      <w:r w:rsidR="00C50B37">
        <w:rPr>
          <w:rFonts w:cs="Arial"/>
          <w:lang w:bidi="he-IL"/>
        </w:rPr>
        <w:t>-</w:t>
      </w:r>
      <w:r w:rsidR="00C50B37" w:rsidRPr="00C50B37">
        <w:t xml:space="preserve"> </w:t>
      </w:r>
      <w:proofErr w:type="spellStart"/>
      <w:r w:rsidR="00C2586C">
        <w:t>Rashi</w:t>
      </w:r>
      <w:proofErr w:type="spellEnd"/>
      <w:r w:rsidR="00C2586C">
        <w:t>-</w:t>
      </w:r>
      <w:r w:rsidR="00C50B37" w:rsidRPr="00C50B37">
        <w:rPr>
          <w:rFonts w:cs="Arial"/>
          <w:lang w:bidi="he-IL"/>
        </w:rPr>
        <w:t xml:space="preserve">Commentary on Talmud </w:t>
      </w:r>
      <w:proofErr w:type="spellStart"/>
      <w:r w:rsidR="00C50B37" w:rsidRPr="00C50B37">
        <w:rPr>
          <w:rFonts w:cs="Arial"/>
          <w:lang w:bidi="he-IL"/>
        </w:rPr>
        <w:t>Bavli</w:t>
      </w:r>
      <w:proofErr w:type="spellEnd"/>
      <w:r w:rsidR="00C50B37" w:rsidRPr="00C50B37">
        <w:rPr>
          <w:rFonts w:cs="Arial"/>
          <w:lang w:bidi="he-IL"/>
        </w:rPr>
        <w:t xml:space="preserve"> (</w:t>
      </w:r>
      <w:proofErr w:type="spellStart"/>
      <w:r w:rsidR="00C50B37" w:rsidRPr="00C50B37">
        <w:rPr>
          <w:rFonts w:cs="Arial"/>
          <w:lang w:bidi="he-IL"/>
        </w:rPr>
        <w:t>Eruvin</w:t>
      </w:r>
      <w:proofErr w:type="spellEnd"/>
      <w:r w:rsidR="00C50B37" w:rsidRPr="00C50B37">
        <w:rPr>
          <w:rFonts w:cs="Arial"/>
          <w:lang w:bidi="he-IL"/>
        </w:rPr>
        <w:t xml:space="preserve"> and </w:t>
      </w:r>
      <w:proofErr w:type="spellStart"/>
      <w:r w:rsidR="00C50B37" w:rsidRPr="00C50B37">
        <w:rPr>
          <w:rFonts w:cs="Arial"/>
          <w:lang w:bidi="he-IL"/>
        </w:rPr>
        <w:t>Betsah</w:t>
      </w:r>
      <w:proofErr w:type="spellEnd"/>
      <w:r w:rsidR="00C50B37" w:rsidRPr="00C50B37">
        <w:rPr>
          <w:rFonts w:cs="Arial"/>
          <w:lang w:bidi="he-IL"/>
        </w:rPr>
        <w:t>)</w:t>
      </w:r>
    </w:p>
    <w:p w14:paraId="03B53FA7" w14:textId="35656DD8" w:rsidR="00C2586C" w:rsidRDefault="00541F8E" w:rsidP="00C2586C">
      <w:pPr>
        <w:rPr>
          <w:rFonts w:cstheme="minorHAnsi"/>
          <w:color w:val="313131"/>
          <w:bdr w:val="none" w:sz="0" w:space="0" w:color="auto" w:frame="1"/>
        </w:rPr>
      </w:pPr>
      <w:r w:rsidRPr="00C2586C">
        <w:rPr>
          <w:rStyle w:val="xm6802422899409983967exldetailsdisplayval"/>
          <w:rFonts w:cstheme="minorHAnsi"/>
          <w:color w:val="313131"/>
          <w:bdr w:val="none" w:sz="0" w:space="0" w:color="auto" w:frame="1"/>
        </w:rPr>
        <w:t>The Bodleian Libraries, University of Oxford</w:t>
      </w:r>
      <w:r w:rsidR="00817546">
        <w:rPr>
          <w:rStyle w:val="xm6802422899409983967exldetailsdisplayval"/>
          <w:rFonts w:cstheme="minorHAnsi"/>
          <w:color w:val="313131"/>
          <w:bdr w:val="none" w:sz="0" w:space="0" w:color="auto" w:frame="1"/>
        </w:rPr>
        <w:t>,</w:t>
      </w:r>
      <w:r w:rsidRPr="00C2586C">
        <w:rPr>
          <w:rStyle w:val="xm6802422899409983967exldetailsdisplayval"/>
          <w:rFonts w:cstheme="minorHAnsi"/>
          <w:color w:val="313131"/>
          <w:bdr w:val="none" w:sz="0" w:space="0" w:color="auto" w:frame="1"/>
        </w:rPr>
        <w:t xml:space="preserve"> Oxford</w:t>
      </w:r>
      <w:r w:rsidR="00817546">
        <w:rPr>
          <w:rStyle w:val="xm6802422899409983967exldetailsdisplayval"/>
          <w:rFonts w:cstheme="minorHAnsi"/>
          <w:color w:val="313131"/>
          <w:bdr w:val="none" w:sz="0" w:space="0" w:color="auto" w:frame="1"/>
        </w:rPr>
        <w:t>,</w:t>
      </w:r>
      <w:r w:rsidRPr="00C2586C">
        <w:rPr>
          <w:rStyle w:val="xm6802422899409983967exldetailsdisplayval"/>
          <w:rFonts w:cstheme="minorHAnsi"/>
          <w:color w:val="313131"/>
          <w:bdr w:val="none" w:sz="0" w:space="0" w:color="auto" w:frame="1"/>
        </w:rPr>
        <w:t xml:space="preserve"> England Ms. Opp. Add. Qu. 23</w:t>
      </w:r>
      <w:r w:rsidRPr="00C2586C">
        <w:rPr>
          <w:rFonts w:cstheme="minorHAnsi"/>
          <w:color w:val="313131"/>
          <w:bdr w:val="none" w:sz="0" w:space="0" w:color="auto" w:frame="1"/>
        </w:rPr>
        <w:t> –15</w:t>
      </w:r>
      <w:r w:rsidRPr="00C2586C">
        <w:rPr>
          <w:rFonts w:cstheme="minorHAnsi"/>
          <w:color w:val="313131"/>
          <w:bdr w:val="none" w:sz="0" w:space="0" w:color="auto" w:frame="1"/>
          <w:vertAlign w:val="superscript"/>
        </w:rPr>
        <w:t>th</w:t>
      </w:r>
      <w:r w:rsidRPr="00C2586C">
        <w:rPr>
          <w:rFonts w:cstheme="minorHAnsi"/>
          <w:color w:val="313131"/>
          <w:bdr w:val="none" w:sz="0" w:space="0" w:color="auto" w:frame="1"/>
        </w:rPr>
        <w:t xml:space="preserve"> century (1426-1475)</w:t>
      </w:r>
    </w:p>
    <w:p w14:paraId="4AD50FFA" w14:textId="77777777" w:rsidR="007754B9" w:rsidRDefault="00552992" w:rsidP="006A169C">
      <w:pPr>
        <w:pStyle w:val="NormalWeb"/>
        <w:shd w:val="clear" w:color="auto" w:fill="FFFFFF"/>
        <w:spacing w:before="0" w:beforeAutospacing="0" w:after="0" w:afterAutospacing="0"/>
        <w:textAlignment w:val="baseline"/>
      </w:pPr>
      <w:hyperlink r:id="rId16" w:anchor="|4486a0cb-1620-4a3c-b02a-7fc46bf03be1.json" w:history="1">
        <w:r w:rsidR="007754B9">
          <w:rPr>
            <w:rStyle w:val="Hyperlink"/>
          </w:rPr>
          <w:t>https://web.nli.org.il/sites/NLI/English/digitallibrary/pages/viewer.aspx?&amp;presentorid=MANUSCRIPTS&amp;docid=PNX_MANUSCRIPTS990000891680205171#|4486a0cb-1620-4a3c-b02a-7fc46bf03be1.json</w:t>
        </w:r>
      </w:hyperlink>
    </w:p>
    <w:p w14:paraId="7E7F26DD" w14:textId="5D34BA1F" w:rsidR="00541F8E" w:rsidRDefault="00541F8E" w:rsidP="006A169C">
      <w:pPr>
        <w:pStyle w:val="NormalWeb"/>
        <w:shd w:val="clear" w:color="auto" w:fill="FFFFFF"/>
        <w:spacing w:before="0" w:beforeAutospacing="0" w:after="0" w:afterAutospacing="0"/>
        <w:textAlignment w:val="baseline"/>
        <w:rPr>
          <w:rFonts w:ascii="Calibri" w:hAnsi="Calibri" w:cs="Calibri"/>
          <w:color w:val="000000"/>
        </w:rPr>
      </w:pPr>
      <w:r>
        <w:rPr>
          <w:rFonts w:ascii="Calibri" w:hAnsi="Calibri" w:cs="Calibri"/>
          <w:noProof/>
          <w:color w:val="000000"/>
        </w:rPr>
        <w:drawing>
          <wp:inline distT="0" distB="0" distL="0" distR="0" wp14:anchorId="7E62941E" wp14:editId="26D949EC">
            <wp:extent cx="965915" cy="1311606"/>
            <wp:effectExtent l="0" t="0" r="5715" b="317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2017" cy="1347050"/>
                    </a:xfrm>
                    <a:prstGeom prst="rect">
                      <a:avLst/>
                    </a:prstGeom>
                    <a:noFill/>
                    <a:ln>
                      <a:noFill/>
                    </a:ln>
                  </pic:spPr>
                </pic:pic>
              </a:graphicData>
            </a:graphic>
          </wp:inline>
        </w:drawing>
      </w:r>
      <w:r>
        <w:rPr>
          <w:rFonts w:ascii="Calibri" w:hAnsi="Calibri" w:cs="Calibri"/>
          <w:color w:val="000000"/>
        </w:rPr>
        <w:t xml:space="preserve"> </w:t>
      </w:r>
      <w:r>
        <w:rPr>
          <w:rFonts w:ascii="Calibri" w:hAnsi="Calibri" w:cs="Calibri"/>
          <w:noProof/>
          <w:color w:val="000000"/>
        </w:rPr>
        <w:drawing>
          <wp:inline distT="0" distB="0" distL="0" distR="0" wp14:anchorId="78F5A27F" wp14:editId="0267D215">
            <wp:extent cx="951838" cy="1310303"/>
            <wp:effectExtent l="19050" t="0" r="662"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951831" cy="1310294"/>
                    </a:xfrm>
                    <a:prstGeom prst="rect">
                      <a:avLst/>
                    </a:prstGeom>
                    <a:noFill/>
                    <a:ln w="9525">
                      <a:noFill/>
                      <a:miter lim="800000"/>
                      <a:headEnd/>
                      <a:tailEnd/>
                    </a:ln>
                  </pic:spPr>
                </pic:pic>
              </a:graphicData>
            </a:graphic>
          </wp:inline>
        </w:drawing>
      </w:r>
      <w:r>
        <w:rPr>
          <w:rFonts w:ascii="Calibri" w:hAnsi="Calibri" w:cs="Calibri"/>
          <w:color w:val="000000"/>
        </w:rPr>
        <w:t xml:space="preserve">       compared to Bach </w:t>
      </w:r>
      <w:r>
        <w:rPr>
          <w:rFonts w:ascii="Calibri" w:hAnsi="Calibri" w:cs="Calibri"/>
          <w:noProof/>
          <w:color w:val="000000"/>
        </w:rPr>
        <w:drawing>
          <wp:inline distT="0" distB="0" distL="0" distR="0" wp14:anchorId="63F3317D" wp14:editId="03BE7BA8">
            <wp:extent cx="936169" cy="1314910"/>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1330" cy="1322159"/>
                    </a:xfrm>
                    <a:prstGeom prst="rect">
                      <a:avLst/>
                    </a:prstGeom>
                    <a:noFill/>
                    <a:ln>
                      <a:noFill/>
                    </a:ln>
                  </pic:spPr>
                </pic:pic>
              </a:graphicData>
            </a:graphic>
          </wp:inline>
        </w:drawing>
      </w:r>
    </w:p>
    <w:p w14:paraId="6F02E1B3" w14:textId="77777777" w:rsidR="00541F8E" w:rsidRDefault="00541F8E" w:rsidP="00541F8E">
      <w:pPr>
        <w:rPr>
          <w:rFonts w:cs="Arial"/>
          <w:lang w:bidi="he-IL"/>
        </w:rPr>
      </w:pPr>
      <w:r>
        <w:rPr>
          <w:rFonts w:cs="Arial"/>
          <w:lang w:bidi="he-IL"/>
        </w:rPr>
        <w:t xml:space="preserve">There is no indication of where the animal is standing, but otherwise it is quite similar, especially its depiction of the </w:t>
      </w:r>
      <w:r>
        <w:rPr>
          <w:rFonts w:cs="Arial"/>
          <w:rtl/>
          <w:lang w:bidi="he-IL"/>
        </w:rPr>
        <w:t>אבוס</w:t>
      </w:r>
      <w:r>
        <w:rPr>
          <w:rFonts w:cs="Arial"/>
          <w:lang w:bidi="he-IL"/>
        </w:rPr>
        <w:t>.</w:t>
      </w:r>
    </w:p>
    <w:p w14:paraId="5C9972B5" w14:textId="77777777" w:rsidR="00541F8E" w:rsidRDefault="00541F8E" w:rsidP="00541F8E"/>
    <w:p w14:paraId="05D26C23" w14:textId="77777777" w:rsidR="00541F8E" w:rsidRDefault="00541F8E" w:rsidP="00541F8E"/>
    <w:p w14:paraId="1D4F1EC1" w14:textId="77777777" w:rsidR="00541F8E" w:rsidRPr="00541F8E" w:rsidRDefault="00541F8E" w:rsidP="00541F8E">
      <w:pPr>
        <w:rPr>
          <w:rFonts w:cs="Arial"/>
          <w:lang w:bidi="he-IL"/>
        </w:rPr>
      </w:pPr>
      <w:r>
        <w:lastRenderedPageBreak/>
        <w:t>Source #2</w:t>
      </w:r>
    </w:p>
    <w:p w14:paraId="7F5BA4C1" w14:textId="4B6B47A1" w:rsidR="00541F8E" w:rsidRDefault="00541F8E" w:rsidP="001D66DB">
      <w:r>
        <w:t>Soncino Pesaro 151</w:t>
      </w:r>
      <w:r w:rsidR="002F0E8A">
        <w:t>1</w:t>
      </w:r>
      <w:r w:rsidR="00567A96">
        <w:t>(?)</w:t>
      </w:r>
      <w:r>
        <w:t xml:space="preserve"> – First printed edition of </w:t>
      </w:r>
      <w:proofErr w:type="spellStart"/>
      <w:r>
        <w:t>Eruvin</w:t>
      </w:r>
      <w:proofErr w:type="spellEnd"/>
      <w:r>
        <w:t>.</w:t>
      </w:r>
      <w:r>
        <w:rPr>
          <w:rStyle w:val="EndnoteReference"/>
        </w:rPr>
        <w:endnoteReference w:id="6"/>
      </w:r>
      <w:r>
        <w:t xml:space="preserve"> Its source was from manuscripts.</w:t>
      </w:r>
    </w:p>
    <w:p w14:paraId="3FB70055" w14:textId="77777777" w:rsidR="00C50B37" w:rsidRDefault="00541F8E" w:rsidP="00C50B37">
      <w:r>
        <w:rPr>
          <w:noProof/>
        </w:rPr>
        <w:drawing>
          <wp:inline distT="0" distB="0" distL="0" distR="0" wp14:anchorId="3D9A8E15" wp14:editId="69C8147D">
            <wp:extent cx="1649093" cy="1641076"/>
            <wp:effectExtent l="0" t="0" r="8890" b="0"/>
            <wp:docPr id="1502317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1663856" cy="1655767"/>
                    </a:xfrm>
                    <a:prstGeom prst="rect">
                      <a:avLst/>
                    </a:prstGeom>
                  </pic:spPr>
                </pic:pic>
              </a:graphicData>
            </a:graphic>
          </wp:inline>
        </w:drawing>
      </w:r>
      <w:r w:rsidR="3B5C4A8C">
        <w:t xml:space="preserve">  compared to Bach</w:t>
      </w:r>
      <w:r>
        <w:rPr>
          <w:noProof/>
        </w:rPr>
        <w:drawing>
          <wp:inline distT="0" distB="0" distL="0" distR="0" wp14:anchorId="3CE65806" wp14:editId="016397AF">
            <wp:extent cx="1150570" cy="1616051"/>
            <wp:effectExtent l="0" t="0" r="0" b="3810"/>
            <wp:docPr id="17996044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1155580" cy="1623087"/>
                    </a:xfrm>
                    <a:prstGeom prst="rect">
                      <a:avLst/>
                    </a:prstGeom>
                  </pic:spPr>
                </pic:pic>
              </a:graphicData>
            </a:graphic>
          </wp:inline>
        </w:drawing>
      </w:r>
    </w:p>
    <w:p w14:paraId="3765FE19" w14:textId="6A949C2F" w:rsidR="00541F8E" w:rsidRPr="00C50B37" w:rsidRDefault="00541F8E" w:rsidP="00C50B37">
      <w:r>
        <w:t xml:space="preserve">There are some differences with the depiction of the Bach, mainly in the positioning of the animal, but this depiction also shows the </w:t>
      </w:r>
      <w:r>
        <w:rPr>
          <w:rFonts w:cs="Arial"/>
          <w:rtl/>
          <w:lang w:bidi="he-IL"/>
        </w:rPr>
        <w:t>אבוס</w:t>
      </w:r>
      <w:r>
        <w:rPr>
          <w:rFonts w:cs="Arial"/>
          <w:lang w:bidi="he-IL"/>
        </w:rPr>
        <w:t xml:space="preserve"> being a long substantial structure.</w:t>
      </w:r>
      <w:r>
        <w:rPr>
          <w:rStyle w:val="EndnoteReference"/>
          <w:rFonts w:cs="Arial"/>
          <w:lang w:bidi="he-IL"/>
        </w:rPr>
        <w:endnoteReference w:id="7"/>
      </w:r>
    </w:p>
    <w:p w14:paraId="5ED1E3B7" w14:textId="288031F1" w:rsidR="00541F8E" w:rsidRDefault="00541F8E" w:rsidP="00B508AD">
      <w:pPr>
        <w:rPr>
          <w:rFonts w:cs="Arial"/>
          <w:lang w:bidi="he-IL"/>
        </w:rPr>
      </w:pPr>
      <w:r>
        <w:rPr>
          <w:rFonts w:cs="Arial"/>
          <w:lang w:bidi="he-IL"/>
        </w:rPr>
        <w:t xml:space="preserve">After the printed edition of the </w:t>
      </w:r>
      <w:proofErr w:type="spellStart"/>
      <w:r>
        <w:rPr>
          <w:rFonts w:cs="Arial"/>
          <w:lang w:bidi="he-IL"/>
        </w:rPr>
        <w:t>Hagahot</w:t>
      </w:r>
      <w:proofErr w:type="spellEnd"/>
      <w:r>
        <w:rPr>
          <w:rFonts w:cs="Arial"/>
          <w:lang w:bidi="he-IL"/>
        </w:rPr>
        <w:t xml:space="preserve"> </w:t>
      </w:r>
      <w:proofErr w:type="spellStart"/>
      <w:r>
        <w:rPr>
          <w:rFonts w:cs="Arial"/>
          <w:lang w:bidi="he-IL"/>
        </w:rPr>
        <w:t>HaBach</w:t>
      </w:r>
      <w:proofErr w:type="spellEnd"/>
      <w:r>
        <w:rPr>
          <w:rFonts w:cs="Arial"/>
          <w:lang w:bidi="he-IL"/>
        </w:rPr>
        <w:t xml:space="preserve"> appeared in 1824, those </w:t>
      </w:r>
      <w:proofErr w:type="spellStart"/>
      <w:r>
        <w:rPr>
          <w:rFonts w:cs="Arial"/>
          <w:lang w:bidi="he-IL"/>
        </w:rPr>
        <w:t>Hagahot</w:t>
      </w:r>
      <w:proofErr w:type="spellEnd"/>
      <w:r>
        <w:rPr>
          <w:rFonts w:cs="Arial"/>
          <w:lang w:bidi="he-IL"/>
        </w:rPr>
        <w:t xml:space="preserve"> began to be included in printed </w:t>
      </w:r>
      <w:proofErr w:type="spellStart"/>
      <w:r>
        <w:rPr>
          <w:rFonts w:cs="Arial"/>
          <w:lang w:bidi="he-IL"/>
        </w:rPr>
        <w:t>Gemarot</w:t>
      </w:r>
      <w:proofErr w:type="spellEnd"/>
      <w:r>
        <w:rPr>
          <w:rFonts w:cs="Arial"/>
          <w:lang w:bidi="he-IL"/>
        </w:rPr>
        <w:t>.</w:t>
      </w:r>
      <w:r>
        <w:rPr>
          <w:rStyle w:val="EndnoteReference"/>
          <w:rFonts w:cs="Arial"/>
          <w:lang w:bidi="he-IL"/>
        </w:rPr>
        <w:endnoteReference w:id="8"/>
      </w:r>
      <w:r>
        <w:rPr>
          <w:rFonts w:cs="Arial"/>
          <w:lang w:bidi="he-IL"/>
        </w:rPr>
        <w:t xml:space="preserve"> I was able to find a number of editions containing this diagram which were printed between 1824 and 188</w:t>
      </w:r>
      <w:r w:rsidR="00C2586C">
        <w:rPr>
          <w:rFonts w:cs="Arial"/>
          <w:lang w:bidi="he-IL"/>
        </w:rPr>
        <w:t>1</w:t>
      </w:r>
      <w:r>
        <w:rPr>
          <w:rFonts w:cs="Arial"/>
          <w:lang w:bidi="he-IL"/>
        </w:rPr>
        <w:t xml:space="preserve"> when the Vilna edition was published. </w:t>
      </w:r>
    </w:p>
    <w:p w14:paraId="3519CD21" w14:textId="77777777" w:rsidR="00541F8E" w:rsidRDefault="00541F8E" w:rsidP="00176798">
      <w:pPr>
        <w:rPr>
          <w:rFonts w:cs="Arial"/>
          <w:lang w:bidi="he-IL"/>
        </w:rPr>
      </w:pPr>
      <w:r>
        <w:rPr>
          <w:rFonts w:cs="Arial"/>
          <w:lang w:bidi="he-IL"/>
        </w:rPr>
        <w:t>The first I examined was Vilna/</w:t>
      </w:r>
      <w:proofErr w:type="spellStart"/>
      <w:r>
        <w:rPr>
          <w:rFonts w:cs="Arial"/>
          <w:lang w:bidi="he-IL"/>
        </w:rPr>
        <w:t>Horodna</w:t>
      </w:r>
      <w:proofErr w:type="spellEnd"/>
      <w:r>
        <w:rPr>
          <w:rFonts w:cs="Arial"/>
          <w:lang w:bidi="he-IL"/>
        </w:rPr>
        <w:t xml:space="preserve"> 1836 which included the </w:t>
      </w:r>
      <w:proofErr w:type="spellStart"/>
      <w:r>
        <w:rPr>
          <w:rFonts w:cs="Arial"/>
          <w:lang w:bidi="he-IL"/>
        </w:rPr>
        <w:t>Hagahot</w:t>
      </w:r>
      <w:proofErr w:type="spellEnd"/>
      <w:r>
        <w:rPr>
          <w:rFonts w:cs="Arial"/>
          <w:lang w:bidi="he-IL"/>
        </w:rPr>
        <w:t xml:space="preserve"> </w:t>
      </w:r>
      <w:proofErr w:type="spellStart"/>
      <w:r>
        <w:rPr>
          <w:rFonts w:cs="Arial"/>
          <w:lang w:bidi="he-IL"/>
        </w:rPr>
        <w:t>Ha’Bach</w:t>
      </w:r>
      <w:proofErr w:type="spellEnd"/>
      <w:r>
        <w:rPr>
          <w:rFonts w:cs="Arial"/>
          <w:lang w:bidi="he-IL"/>
        </w:rPr>
        <w:t xml:space="preserve"> after the </w:t>
      </w:r>
      <w:proofErr w:type="spellStart"/>
      <w:r>
        <w:rPr>
          <w:rFonts w:cs="Arial"/>
          <w:lang w:bidi="he-IL"/>
        </w:rPr>
        <w:t>Peirush</w:t>
      </w:r>
      <w:proofErr w:type="spellEnd"/>
      <w:r>
        <w:rPr>
          <w:rFonts w:cs="Arial"/>
          <w:lang w:bidi="he-IL"/>
        </w:rPr>
        <w:t xml:space="preserve"> </w:t>
      </w:r>
      <w:proofErr w:type="spellStart"/>
      <w:r>
        <w:rPr>
          <w:rFonts w:cs="Arial"/>
          <w:lang w:bidi="he-IL"/>
        </w:rPr>
        <w:t>Mishnayot</w:t>
      </w:r>
      <w:proofErr w:type="spellEnd"/>
      <w:r>
        <w:rPr>
          <w:rFonts w:cs="Arial"/>
          <w:lang w:bidi="he-IL"/>
        </w:rPr>
        <w:t xml:space="preserve"> of the Rambam. It was the first printed edition to include these </w:t>
      </w:r>
      <w:proofErr w:type="spellStart"/>
      <w:r>
        <w:rPr>
          <w:rFonts w:cs="Arial"/>
          <w:lang w:bidi="he-IL"/>
        </w:rPr>
        <w:t>Hagahot</w:t>
      </w:r>
      <w:proofErr w:type="spellEnd"/>
      <w:r>
        <w:rPr>
          <w:rFonts w:cs="Arial"/>
          <w:lang w:bidi="he-IL"/>
        </w:rPr>
        <w:t xml:space="preserve"> on </w:t>
      </w:r>
      <w:proofErr w:type="spellStart"/>
      <w:r>
        <w:rPr>
          <w:rFonts w:cs="Arial"/>
          <w:lang w:bidi="he-IL"/>
        </w:rPr>
        <w:t>Eruvin</w:t>
      </w:r>
      <w:proofErr w:type="spellEnd"/>
      <w:r>
        <w:rPr>
          <w:rFonts w:cs="Arial"/>
          <w:lang w:bidi="he-IL"/>
        </w:rPr>
        <w:t xml:space="preserve"> after 1824.</w:t>
      </w:r>
      <w:r>
        <w:rPr>
          <w:rStyle w:val="EndnoteReference"/>
          <w:rFonts w:cs="Arial"/>
          <w:lang w:bidi="he-IL"/>
        </w:rPr>
        <w:endnoteReference w:id="9"/>
      </w:r>
      <w:r>
        <w:rPr>
          <w:rFonts w:cs="Arial"/>
          <w:lang w:bidi="he-IL"/>
        </w:rPr>
        <w:t xml:space="preserve"> We already see major changes from the first edition, including the picture of the animal and the change to the depiction of the </w:t>
      </w:r>
      <w:r>
        <w:rPr>
          <w:rFonts w:cs="Arial"/>
          <w:rtl/>
          <w:lang w:bidi="he-IL"/>
        </w:rPr>
        <w:t>אבוס</w:t>
      </w:r>
      <w:r>
        <w:rPr>
          <w:rFonts w:cs="Arial"/>
          <w:lang w:bidi="he-IL"/>
        </w:rPr>
        <w:t>.</w:t>
      </w:r>
      <w:r>
        <w:rPr>
          <w:rStyle w:val="EndnoteReference"/>
          <w:rFonts w:cs="Arial"/>
          <w:lang w:bidi="he-IL"/>
        </w:rPr>
        <w:endnoteReference w:id="10"/>
      </w:r>
    </w:p>
    <w:p w14:paraId="39DF492D" w14:textId="77777777" w:rsidR="00541F8E" w:rsidRDefault="00541F8E" w:rsidP="00176798">
      <w:pPr>
        <w:rPr>
          <w:rFonts w:cs="Arial"/>
          <w:lang w:bidi="he-IL"/>
        </w:rPr>
      </w:pPr>
      <w:r w:rsidRPr="00456417">
        <w:rPr>
          <w:rFonts w:cs="Arial"/>
          <w:noProof/>
          <w:lang w:bidi="he-IL"/>
        </w:rPr>
        <w:drawing>
          <wp:inline distT="0" distB="0" distL="0" distR="0" wp14:anchorId="7E96898F" wp14:editId="27B471AC">
            <wp:extent cx="3355825" cy="2894591"/>
            <wp:effectExtent l="0" t="0" r="0" b="1270"/>
            <wp:docPr id="49" name="Picture 1" descr="C:\Users\Eli\Downloads\IMG_8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Downloads\IMG_8350.jpg"/>
                    <pic:cNvPicPr>
                      <a:picLocks noChangeAspect="1" noChangeArrowheads="1"/>
                    </pic:cNvPicPr>
                  </pic:nvPicPr>
                  <pic:blipFill>
                    <a:blip r:embed="rId21" cstate="print"/>
                    <a:srcRect/>
                    <a:stretch>
                      <a:fillRect/>
                    </a:stretch>
                  </pic:blipFill>
                  <pic:spPr bwMode="auto">
                    <a:xfrm>
                      <a:off x="0" y="0"/>
                      <a:ext cx="3363056" cy="2900828"/>
                    </a:xfrm>
                    <a:prstGeom prst="rect">
                      <a:avLst/>
                    </a:prstGeom>
                    <a:noFill/>
                    <a:ln w="9525">
                      <a:noFill/>
                      <a:miter lim="800000"/>
                      <a:headEnd/>
                      <a:tailEnd/>
                    </a:ln>
                  </pic:spPr>
                </pic:pic>
              </a:graphicData>
            </a:graphic>
          </wp:inline>
        </w:drawing>
      </w:r>
    </w:p>
    <w:p w14:paraId="46070330" w14:textId="77777777" w:rsidR="00541F8E" w:rsidRDefault="00541F8E" w:rsidP="00456417">
      <w:pPr>
        <w:rPr>
          <w:rFonts w:cs="Arial"/>
          <w:lang w:bidi="he-IL"/>
        </w:rPr>
      </w:pPr>
    </w:p>
    <w:p w14:paraId="161218FD" w14:textId="77777777" w:rsidR="00541F8E" w:rsidRDefault="00541F8E" w:rsidP="00456417">
      <w:pPr>
        <w:rPr>
          <w:rFonts w:cs="Arial"/>
          <w:lang w:bidi="he-IL"/>
        </w:rPr>
      </w:pPr>
    </w:p>
    <w:p w14:paraId="3B0D9F6E" w14:textId="77777777" w:rsidR="00C2586C" w:rsidRDefault="00C2586C" w:rsidP="00456417">
      <w:pPr>
        <w:rPr>
          <w:rFonts w:cs="Arial"/>
          <w:lang w:bidi="he-IL"/>
        </w:rPr>
      </w:pPr>
    </w:p>
    <w:p w14:paraId="4F555F80" w14:textId="29914411" w:rsidR="00541F8E" w:rsidRDefault="00541F8E" w:rsidP="00456417">
      <w:pPr>
        <w:rPr>
          <w:rFonts w:cs="Arial"/>
          <w:lang w:bidi="he-IL"/>
        </w:rPr>
      </w:pPr>
      <w:r>
        <w:rPr>
          <w:rFonts w:cs="Arial"/>
          <w:lang w:bidi="he-IL"/>
        </w:rPr>
        <w:lastRenderedPageBreak/>
        <w:t xml:space="preserve">The second printing I examined was </w:t>
      </w:r>
      <w:proofErr w:type="spellStart"/>
      <w:r>
        <w:rPr>
          <w:rFonts w:cs="Arial"/>
          <w:lang w:bidi="he-IL"/>
        </w:rPr>
        <w:t>Chernowitz</w:t>
      </w:r>
      <w:proofErr w:type="spellEnd"/>
      <w:r>
        <w:rPr>
          <w:rFonts w:cs="Arial"/>
          <w:lang w:bidi="he-IL"/>
        </w:rPr>
        <w:t xml:space="preserve"> 1847. This printing retained the exact diagram of the 1824 edition</w:t>
      </w:r>
    </w:p>
    <w:p w14:paraId="193D972E" w14:textId="77777777" w:rsidR="00541F8E" w:rsidRDefault="00541F8E" w:rsidP="0079641F">
      <w:pPr>
        <w:rPr>
          <w:rFonts w:cs="Arial"/>
          <w:lang w:bidi="he-IL"/>
        </w:rPr>
      </w:pPr>
      <w:r>
        <w:rPr>
          <w:noProof/>
        </w:rPr>
        <w:drawing>
          <wp:inline distT="0" distB="0" distL="0" distR="0" wp14:anchorId="4F22C93A" wp14:editId="73BE34B4">
            <wp:extent cx="1276709" cy="1450706"/>
            <wp:effectExtent l="19050" t="0" r="0" b="0"/>
            <wp:docPr id="14484673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1276709" cy="1450706"/>
                    </a:xfrm>
                    <a:prstGeom prst="rect">
                      <a:avLst/>
                    </a:prstGeom>
                  </pic:spPr>
                </pic:pic>
              </a:graphicData>
            </a:graphic>
          </wp:inline>
        </w:drawing>
      </w:r>
    </w:p>
    <w:p w14:paraId="6ADD85D7" w14:textId="77777777" w:rsidR="00541F8E" w:rsidRDefault="00541F8E" w:rsidP="00B508AD"/>
    <w:p w14:paraId="4F6489E8" w14:textId="3E111B8A" w:rsidR="00541F8E" w:rsidRDefault="00541F8E" w:rsidP="00B508AD">
      <w:pPr>
        <w:rPr>
          <w:rFonts w:cs="Arial"/>
          <w:lang w:bidi="he-IL"/>
        </w:rPr>
      </w:pPr>
      <w:r>
        <w:t>The third is in the normally reliable Zhitomir edition of 1862.</w:t>
      </w:r>
      <w:r>
        <w:rPr>
          <w:rStyle w:val="EndnoteReference"/>
        </w:rPr>
        <w:endnoteReference w:id="11"/>
      </w:r>
      <w:r>
        <w:t xml:space="preserve"> It completely misplaces the </w:t>
      </w:r>
      <w:r>
        <w:rPr>
          <w:rFonts w:cs="Arial"/>
          <w:rtl/>
          <w:lang w:bidi="he-IL"/>
        </w:rPr>
        <w:t>אבוס</w:t>
      </w:r>
      <w:r>
        <w:rPr>
          <w:rFonts w:cs="Arial"/>
          <w:lang w:bidi="he-IL"/>
        </w:rPr>
        <w:t xml:space="preserve"> by not having it extend into the area surrounding the well.</w:t>
      </w:r>
    </w:p>
    <w:p w14:paraId="5F0B6C69" w14:textId="77777777" w:rsidR="00541F8E" w:rsidRDefault="3B5C4A8C" w:rsidP="005633B9">
      <w:pPr>
        <w:rPr>
          <w:noProof/>
        </w:rPr>
      </w:pPr>
      <w:r w:rsidRPr="3B5C4A8C">
        <w:rPr>
          <w:noProof/>
        </w:rPr>
        <w:t xml:space="preserve"> </w:t>
      </w:r>
      <w:r w:rsidR="00541F8E">
        <w:rPr>
          <w:noProof/>
        </w:rPr>
        <w:drawing>
          <wp:inline distT="0" distB="0" distL="0" distR="0" wp14:anchorId="6E501700" wp14:editId="30AEA63F">
            <wp:extent cx="2010469" cy="2203924"/>
            <wp:effectExtent l="0" t="0" r="8890" b="6350"/>
            <wp:docPr id="19028348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3">
                      <a:extLst>
                        <a:ext uri="{28A0092B-C50C-407E-A947-70E740481C1C}">
                          <a14:useLocalDpi xmlns:a14="http://schemas.microsoft.com/office/drawing/2010/main" val="0"/>
                        </a:ext>
                      </a:extLst>
                    </a:blip>
                    <a:stretch>
                      <a:fillRect/>
                    </a:stretch>
                  </pic:blipFill>
                  <pic:spPr>
                    <a:xfrm>
                      <a:off x="0" y="0"/>
                      <a:ext cx="2027185" cy="2222248"/>
                    </a:xfrm>
                    <a:prstGeom prst="rect">
                      <a:avLst/>
                    </a:prstGeom>
                  </pic:spPr>
                </pic:pic>
              </a:graphicData>
            </a:graphic>
          </wp:inline>
        </w:drawing>
      </w:r>
    </w:p>
    <w:p w14:paraId="544ADDE5" w14:textId="77777777" w:rsidR="00541F8E" w:rsidRDefault="00541F8E" w:rsidP="00B508AD"/>
    <w:p w14:paraId="565A3C59" w14:textId="315A4391" w:rsidR="00D71CAA" w:rsidRDefault="00541F8E" w:rsidP="00F65C89">
      <w:r>
        <w:t xml:space="preserve">It turns out that the depiction attributed to the Bach appearing in the first printed edition of </w:t>
      </w:r>
      <w:proofErr w:type="spellStart"/>
      <w:r>
        <w:t>Hagahot</w:t>
      </w:r>
      <w:proofErr w:type="spellEnd"/>
      <w:r>
        <w:t xml:space="preserve"> </w:t>
      </w:r>
      <w:proofErr w:type="spellStart"/>
      <w:r>
        <w:t>HaBach</w:t>
      </w:r>
      <w:proofErr w:type="spellEnd"/>
      <w:r>
        <w:t xml:space="preserve"> is more in line with the words of </w:t>
      </w:r>
      <w:proofErr w:type="spellStart"/>
      <w:r>
        <w:t>Rashi</w:t>
      </w:r>
      <w:proofErr w:type="spellEnd"/>
      <w:r>
        <w:t xml:space="preserve"> than the “improvements” to that depiction made in subsequent editions. </w:t>
      </w:r>
      <w:r>
        <w:rPr>
          <w:rStyle w:val="EndnoteReference"/>
        </w:rPr>
        <w:endnoteReference w:id="12"/>
      </w:r>
      <w:r>
        <w:t xml:space="preserve"> </w:t>
      </w:r>
    </w:p>
    <w:sectPr w:rsidR="00D71CAA" w:rsidSect="00231869">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55A8D4" w14:textId="77777777" w:rsidR="00552992" w:rsidRDefault="00552992" w:rsidP="00FF76F5">
      <w:pPr>
        <w:spacing w:after="0" w:line="240" w:lineRule="auto"/>
      </w:pPr>
      <w:r>
        <w:separator/>
      </w:r>
    </w:p>
  </w:endnote>
  <w:endnote w:type="continuationSeparator" w:id="0">
    <w:p w14:paraId="6447ACE3" w14:textId="77777777" w:rsidR="00552992" w:rsidRDefault="00552992" w:rsidP="00FF76F5">
      <w:pPr>
        <w:spacing w:after="0" w:line="240" w:lineRule="auto"/>
      </w:pPr>
      <w:r>
        <w:continuationSeparator/>
      </w:r>
    </w:p>
  </w:endnote>
  <w:endnote w:id="1">
    <w:p w14:paraId="6132CD33" w14:textId="622CF9AA" w:rsidR="00541F8E" w:rsidRPr="00D71CAA" w:rsidRDefault="00541F8E" w:rsidP="00D71CAA">
      <w:pPr>
        <w:rPr>
          <w:rFonts w:cstheme="minorHAnsi"/>
          <w:color w:val="222222"/>
          <w:shd w:val="clear" w:color="auto" w:fill="FFFFFF"/>
        </w:rPr>
      </w:pPr>
      <w:r>
        <w:rPr>
          <w:rStyle w:val="EndnoteReference"/>
        </w:rPr>
        <w:endnoteRef/>
      </w:r>
      <w:r>
        <w:t xml:space="preserve"> </w:t>
      </w:r>
      <w:r w:rsidRPr="00D71CAA">
        <w:rPr>
          <w:rFonts w:cstheme="minorHAnsi"/>
        </w:rPr>
        <w:t xml:space="preserve">Manger is defined as </w:t>
      </w:r>
      <w:r w:rsidRPr="00D71CAA">
        <w:rPr>
          <w:rFonts w:cstheme="minorHAnsi"/>
          <w:color w:val="222222"/>
          <w:shd w:val="clear" w:color="auto" w:fill="FFFFFF"/>
        </w:rPr>
        <w:t xml:space="preserve">a </w:t>
      </w:r>
      <w:r>
        <w:rPr>
          <w:rFonts w:cstheme="minorHAnsi"/>
          <w:color w:val="222222"/>
          <w:shd w:val="clear" w:color="auto" w:fill="FFFFFF"/>
        </w:rPr>
        <w:t>“</w:t>
      </w:r>
      <w:r w:rsidRPr="00D71CAA">
        <w:rPr>
          <w:rFonts w:cstheme="minorHAnsi"/>
          <w:color w:val="222222"/>
          <w:shd w:val="clear" w:color="auto" w:fill="FFFFFF"/>
        </w:rPr>
        <w:t>long open box or trough for horses or cattle to eat from</w:t>
      </w:r>
      <w:r>
        <w:rPr>
          <w:rFonts w:cstheme="minorHAnsi"/>
          <w:color w:val="222222"/>
          <w:shd w:val="clear" w:color="auto" w:fill="FFFFFF"/>
        </w:rPr>
        <w:t>”</w:t>
      </w:r>
      <w:r w:rsidRPr="00D71CAA">
        <w:rPr>
          <w:rFonts w:cstheme="minorHAnsi"/>
          <w:color w:val="222222"/>
          <w:shd w:val="clear" w:color="auto" w:fill="FFFFFF"/>
        </w:rPr>
        <w:t xml:space="preserve">. I use </w:t>
      </w:r>
      <w:r w:rsidR="00567A96">
        <w:rPr>
          <w:rFonts w:cstheme="minorHAnsi"/>
          <w:color w:val="222222"/>
          <w:shd w:val="clear" w:color="auto" w:fill="FFFFFF"/>
        </w:rPr>
        <w:t>“</w:t>
      </w:r>
      <w:r w:rsidRPr="00D71CAA">
        <w:rPr>
          <w:rFonts w:cstheme="minorHAnsi"/>
          <w:color w:val="222222"/>
          <w:shd w:val="clear" w:color="auto" w:fill="FFFFFF"/>
        </w:rPr>
        <w:t>trough</w:t>
      </w:r>
      <w:r w:rsidR="00567A96">
        <w:rPr>
          <w:rFonts w:cstheme="minorHAnsi"/>
          <w:color w:val="222222"/>
          <w:shd w:val="clear" w:color="auto" w:fill="FFFFFF"/>
        </w:rPr>
        <w:t>”</w:t>
      </w:r>
      <w:r w:rsidRPr="00D71CAA">
        <w:rPr>
          <w:rFonts w:cstheme="minorHAnsi"/>
          <w:color w:val="222222"/>
          <w:shd w:val="clear" w:color="auto" w:fill="FFFFFF"/>
        </w:rPr>
        <w:t xml:space="preserve"> as a definition</w:t>
      </w:r>
      <w:r>
        <w:rPr>
          <w:rFonts w:cstheme="minorHAnsi"/>
          <w:color w:val="222222"/>
          <w:shd w:val="clear" w:color="auto" w:fill="FFFFFF"/>
        </w:rPr>
        <w:t xml:space="preserve"> for </w:t>
      </w:r>
      <w:r>
        <w:rPr>
          <w:rFonts w:cs="Arial"/>
          <w:rtl/>
          <w:lang w:bidi="he-IL"/>
        </w:rPr>
        <w:t>אבוס</w:t>
      </w:r>
      <w:r w:rsidRPr="00D71CAA">
        <w:rPr>
          <w:rFonts w:cstheme="minorHAnsi"/>
          <w:color w:val="222222"/>
          <w:shd w:val="clear" w:color="auto" w:fill="FFFFFF"/>
        </w:rPr>
        <w:t xml:space="preserve">. Jastrow </w:t>
      </w:r>
      <w:r>
        <w:rPr>
          <w:rFonts w:cstheme="minorHAnsi"/>
          <w:color w:val="222222"/>
          <w:shd w:val="clear" w:color="auto" w:fill="FFFFFF"/>
        </w:rPr>
        <w:t>( 1926 edition, page 4)</w:t>
      </w:r>
      <w:r w:rsidRPr="00D71CAA">
        <w:rPr>
          <w:rFonts w:cstheme="minorHAnsi"/>
          <w:color w:val="222222"/>
          <w:shd w:val="clear" w:color="auto" w:fill="FFFFFF"/>
        </w:rPr>
        <w:t xml:space="preserve">defines it as either a feeding receptacle, bowl for working men, manger, stall or stable. </w:t>
      </w:r>
      <w:r w:rsidRPr="00D71CAA">
        <w:rPr>
          <w:rFonts w:cstheme="minorHAnsi"/>
        </w:rPr>
        <w:t>Manger/trough seems to be what is meant here because the dimensions are given as at least ten Tefachim high and four Tefachim wide and it is stated that it is standing on the ground</w:t>
      </w:r>
    </w:p>
    <w:p w14:paraId="74F71483" w14:textId="30DFB219" w:rsidR="00541F8E" w:rsidRPr="00D71CAA" w:rsidRDefault="00541F8E" w:rsidP="00D71CAA">
      <w:pPr>
        <w:rPr>
          <w:rFonts w:cstheme="minorHAnsi"/>
        </w:rPr>
      </w:pPr>
      <w:r w:rsidRPr="00D71CAA">
        <w:rPr>
          <w:rFonts w:cstheme="minorHAnsi"/>
        </w:rPr>
        <w:t>Steinsaltz English translation</w:t>
      </w:r>
      <w:r>
        <w:rPr>
          <w:rFonts w:cstheme="minorHAnsi"/>
        </w:rPr>
        <w:t xml:space="preserve"> renders our case</w:t>
      </w:r>
      <w:r w:rsidRPr="00D71CAA">
        <w:rPr>
          <w:rFonts w:cstheme="minorHAnsi"/>
        </w:rPr>
        <w:t xml:space="preserve"> </w:t>
      </w:r>
      <w:r w:rsidR="00C2586C" w:rsidRPr="00D71CAA">
        <w:rPr>
          <w:rFonts w:cstheme="minorHAnsi"/>
        </w:rPr>
        <w:t>(available</w:t>
      </w:r>
      <w:r w:rsidRPr="00D71CAA">
        <w:rPr>
          <w:rFonts w:cstheme="minorHAnsi"/>
        </w:rPr>
        <w:t xml:space="preserve"> on Sefaria) “</w:t>
      </w:r>
      <w:r w:rsidR="00C2586C" w:rsidRPr="00D71CAA">
        <w:rPr>
          <w:rFonts w:cstheme="minorHAnsi"/>
        </w:rPr>
        <w:t>….</w:t>
      </w:r>
      <w:r w:rsidRPr="00D71CAA">
        <w:rPr>
          <w:rFonts w:cstheme="minorHAnsi"/>
        </w:rPr>
        <w:t>eating from a manger or trough that stands in the public domain that is ten handbreadths high and four handbreadths wide”</w:t>
      </w:r>
    </w:p>
    <w:p w14:paraId="45DAD083" w14:textId="77777777" w:rsidR="00541F8E" w:rsidRDefault="00541F8E">
      <w:pPr>
        <w:pStyle w:val="EndnoteText"/>
      </w:pPr>
    </w:p>
  </w:endnote>
  <w:endnote w:id="2">
    <w:p w14:paraId="06EA4E57" w14:textId="2AAA7F3E" w:rsidR="002A36AE" w:rsidRDefault="002A36AE">
      <w:pPr>
        <w:pStyle w:val="EndnoteText"/>
      </w:pPr>
      <w:r>
        <w:rPr>
          <w:rStyle w:val="EndnoteReference"/>
        </w:rPr>
        <w:endnoteRef/>
      </w:r>
      <w:r>
        <w:t xml:space="preserve"> All translations are based on Sefaria.org, the William Davidson Talmud based on the </w:t>
      </w:r>
      <w:r>
        <w:t>Steinsaltz English Talmud</w:t>
      </w:r>
    </w:p>
  </w:endnote>
  <w:endnote w:id="3">
    <w:p w14:paraId="767E1338" w14:textId="77777777" w:rsidR="00541F8E" w:rsidRDefault="00541F8E">
      <w:pPr>
        <w:pStyle w:val="EndnoteText"/>
      </w:pPr>
      <w:r>
        <w:rPr>
          <w:rStyle w:val="EndnoteReference"/>
        </w:rPr>
        <w:endnoteRef/>
      </w:r>
      <w:r>
        <w:t xml:space="preserve"> While there are a few </w:t>
      </w:r>
      <w:r>
        <w:t xml:space="preserve">Gemarot at the NLI which were hand copied from the actual Gemara of the Bach, there is not one for Eruvin. Therefore, the first edition of the Bach is our only source for what the Bach’s diagram actually looked like. </w:t>
      </w:r>
    </w:p>
  </w:endnote>
  <w:endnote w:id="4">
    <w:p w14:paraId="5DB43F2E" w14:textId="05EC57A9" w:rsidR="00541F8E" w:rsidRDefault="00541F8E">
      <w:pPr>
        <w:pStyle w:val="EndnoteText"/>
      </w:pPr>
      <w:r>
        <w:rPr>
          <w:rStyle w:val="EndnoteReference"/>
        </w:rPr>
        <w:endnoteRef/>
      </w:r>
      <w:r>
        <w:t xml:space="preserve"> </w:t>
      </w:r>
      <w:r w:rsidRPr="00C2586C">
        <w:rPr>
          <w:rFonts w:cstheme="minorHAnsi"/>
          <w:color w:val="000000"/>
          <w:shd w:val="clear" w:color="auto" w:fill="FFFFFF"/>
          <w:lang w:bidi="he-IL"/>
        </w:rPr>
        <w:t>Amudim B’Toldot Sefer HaIvri,</w:t>
      </w:r>
      <w:r w:rsidRPr="00C2586C">
        <w:rPr>
          <w:rFonts w:cstheme="minorHAnsi"/>
          <w:b/>
          <w:bCs/>
          <w:color w:val="000000"/>
          <w:shd w:val="clear" w:color="auto" w:fill="FFFFFF"/>
          <w:lang w:bidi="he-IL"/>
        </w:rPr>
        <w:t xml:space="preserve"> </w:t>
      </w:r>
      <w:r w:rsidRPr="00C2586C">
        <w:rPr>
          <w:rFonts w:cstheme="minorHAnsi"/>
        </w:rPr>
        <w:t xml:space="preserve">Hagahot U’Magihim , Spiegel p. 366 , </w:t>
      </w:r>
      <w:r w:rsidR="002F0E8A">
        <w:rPr>
          <w:rFonts w:cstheme="minorHAnsi"/>
        </w:rPr>
        <w:t xml:space="preserve">(Ramat Gan, 2005)  </w:t>
      </w:r>
      <w:r w:rsidRPr="00C2586C">
        <w:rPr>
          <w:rFonts w:cstheme="minorHAnsi"/>
        </w:rPr>
        <w:t>the paragraph beginning with the words “Sof Davar…”</w:t>
      </w:r>
    </w:p>
  </w:endnote>
  <w:endnote w:id="5">
    <w:p w14:paraId="66E8C105" w14:textId="12694162" w:rsidR="00541F8E" w:rsidRDefault="00541F8E">
      <w:pPr>
        <w:pStyle w:val="EndnoteText"/>
      </w:pPr>
      <w:r>
        <w:rPr>
          <w:rStyle w:val="EndnoteReference"/>
        </w:rPr>
        <w:endnoteRef/>
      </w:r>
      <w:r>
        <w:t xml:space="preserve"> I examined four other </w:t>
      </w:r>
      <w:r>
        <w:t>Rashi manuscripts on this Daf and n</w:t>
      </w:r>
      <w:r w:rsidR="00C2586C">
        <w:t>one</w:t>
      </w:r>
      <w:r>
        <w:t xml:space="preserve"> had a diagram. Also, none of them, nor any other Rashi text I saw include the word “Kazeh”. That would indicate there most likely was no diagram in the original Rashi work. However, we do have one manuscript with a diagram, and more importantly the Soncino Pesaro edition which contains quite </w:t>
      </w:r>
      <w:r w:rsidR="00C2586C">
        <w:t xml:space="preserve">a </w:t>
      </w:r>
      <w:r>
        <w:t xml:space="preserve">complex diagram. The editors of this edition worked from multiple manuscripts and often decided the text based on a majority. They did not add diagrams on their own and therefore they included this depiction based on the manuscript(s) they had. </w:t>
      </w:r>
    </w:p>
  </w:endnote>
  <w:endnote w:id="6">
    <w:p w14:paraId="0A41B995" w14:textId="77777777" w:rsidR="00541F8E" w:rsidRDefault="00541F8E">
      <w:pPr>
        <w:pStyle w:val="EndnoteText"/>
      </w:pPr>
      <w:r>
        <w:rPr>
          <w:rStyle w:val="EndnoteReference"/>
        </w:rPr>
        <w:endnoteRef/>
      </w:r>
      <w:r>
        <w:t xml:space="preserve"> After Soncino, until much later, empty spaces were left where Soncino had included a diagram. This Soncino diagram was the reason why an empty space existed in this </w:t>
      </w:r>
      <w:r>
        <w:t>Rashi in subsequent editions of the Talmud until Amsterdam 1717 which eliminated the empty space. It has stayed that way until today.</w:t>
      </w:r>
    </w:p>
    <w:p w14:paraId="167937AA" w14:textId="77777777" w:rsidR="00541F8E" w:rsidRDefault="3B5C4A8C" w:rsidP="0065098B">
      <w:pPr>
        <w:pStyle w:val="EndnoteText"/>
      </w:pPr>
      <w:r>
        <w:t xml:space="preserve">Here is Bomberg 1522 </w:t>
      </w:r>
      <w:r w:rsidR="00541F8E">
        <w:rPr>
          <w:noProof/>
        </w:rPr>
        <w:drawing>
          <wp:inline distT="0" distB="0" distL="0" distR="0" wp14:anchorId="4D68FA79" wp14:editId="1398BE4C">
            <wp:extent cx="1022695" cy="1653710"/>
            <wp:effectExtent l="0" t="0" r="6350" b="3810"/>
            <wp:docPr id="58557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022695" cy="1653710"/>
                    </a:xfrm>
                    <a:prstGeom prst="rect">
                      <a:avLst/>
                    </a:prstGeom>
                  </pic:spPr>
                </pic:pic>
              </a:graphicData>
            </a:graphic>
          </wp:inline>
        </w:drawing>
      </w:r>
      <w:r>
        <w:t xml:space="preserve">Amsterdam 1646 </w:t>
      </w:r>
      <w:r w:rsidR="00541F8E">
        <w:rPr>
          <w:noProof/>
        </w:rPr>
        <w:drawing>
          <wp:inline distT="0" distB="0" distL="0" distR="0" wp14:anchorId="5EC66499" wp14:editId="603DA3C4">
            <wp:extent cx="1287887" cy="1687710"/>
            <wp:effectExtent l="0" t="0" r="7620" b="8255"/>
            <wp:docPr id="11235927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287887" cy="1687710"/>
                    </a:xfrm>
                    <a:prstGeom prst="rect">
                      <a:avLst/>
                    </a:prstGeom>
                  </pic:spPr>
                </pic:pic>
              </a:graphicData>
            </a:graphic>
          </wp:inline>
        </w:drawing>
      </w:r>
    </w:p>
    <w:p w14:paraId="43592084" w14:textId="77777777" w:rsidR="00541F8E" w:rsidRDefault="00541F8E" w:rsidP="0065098B">
      <w:pPr>
        <w:pStyle w:val="EndnoteText"/>
      </w:pPr>
    </w:p>
    <w:p w14:paraId="4D4144CA" w14:textId="77777777" w:rsidR="00541F8E" w:rsidRDefault="00541F8E" w:rsidP="0065098B">
      <w:pPr>
        <w:pStyle w:val="EndnoteText"/>
      </w:pPr>
    </w:p>
    <w:p w14:paraId="5BF8D53E" w14:textId="77777777" w:rsidR="00541F8E" w:rsidRDefault="3B5C4A8C" w:rsidP="006E7EB4">
      <w:pPr>
        <w:pStyle w:val="EndnoteText"/>
      </w:pPr>
      <w:r>
        <w:t xml:space="preserve">Amsterdam 1717 </w:t>
      </w:r>
      <w:r w:rsidR="00541F8E">
        <w:rPr>
          <w:noProof/>
        </w:rPr>
        <w:drawing>
          <wp:inline distT="0" distB="0" distL="0" distR="0" wp14:anchorId="43AC3680" wp14:editId="124A2563">
            <wp:extent cx="1141927" cy="2024504"/>
            <wp:effectExtent l="0" t="0" r="1270" b="0"/>
            <wp:docPr id="16331610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
                      <a:extLst>
                        <a:ext uri="{28A0092B-C50C-407E-A947-70E740481C1C}">
                          <a14:useLocalDpi xmlns:a14="http://schemas.microsoft.com/office/drawing/2010/main" val="0"/>
                        </a:ext>
                      </a:extLst>
                    </a:blip>
                    <a:stretch>
                      <a:fillRect/>
                    </a:stretch>
                  </pic:blipFill>
                  <pic:spPr>
                    <a:xfrm>
                      <a:off x="0" y="0"/>
                      <a:ext cx="1141927" cy="2024504"/>
                    </a:xfrm>
                    <a:prstGeom prst="rect">
                      <a:avLst/>
                    </a:prstGeom>
                  </pic:spPr>
                </pic:pic>
              </a:graphicData>
            </a:graphic>
          </wp:inline>
        </w:drawing>
      </w:r>
    </w:p>
    <w:p w14:paraId="74199FE2" w14:textId="77777777" w:rsidR="00541F8E" w:rsidRDefault="00541F8E" w:rsidP="0065098B">
      <w:pPr>
        <w:pStyle w:val="EndnoteText"/>
      </w:pPr>
    </w:p>
  </w:endnote>
  <w:endnote w:id="7">
    <w:p w14:paraId="1617A4AE" w14:textId="77777777" w:rsidR="00541F8E" w:rsidRDefault="00541F8E" w:rsidP="002A2BC0">
      <w:r>
        <w:rPr>
          <w:rStyle w:val="EndnoteReference"/>
        </w:rPr>
        <w:endnoteRef/>
      </w:r>
      <w:r>
        <w:t xml:space="preserve"> </w:t>
      </w:r>
      <w:r>
        <w:rPr>
          <w:rFonts w:cs="Arial"/>
          <w:lang w:bidi="he-IL"/>
        </w:rPr>
        <w:t xml:space="preserve">One possible source for diagrams was the </w:t>
      </w:r>
      <w:r>
        <w:rPr>
          <w:rFonts w:cs="Arial"/>
          <w:lang w:bidi="he-IL"/>
        </w:rPr>
        <w:t>Chochmat Shlomo of the Maharshal which was printed in 1580 in Prague. It included many diagrams left out of the Bomberg Shas. It, however, has no diagram of this case.</w:t>
      </w:r>
    </w:p>
  </w:endnote>
  <w:endnote w:id="8">
    <w:p w14:paraId="24155931" w14:textId="77777777" w:rsidR="00541F8E" w:rsidRDefault="00541F8E">
      <w:pPr>
        <w:pStyle w:val="EndnoteText"/>
      </w:pPr>
      <w:r>
        <w:rPr>
          <w:rStyle w:val="EndnoteReference"/>
        </w:rPr>
        <w:endnoteRef/>
      </w:r>
      <w:r>
        <w:t xml:space="preserve"> The first time it was included in a printed edition of a </w:t>
      </w:r>
      <w:r>
        <w:t>Gemara was Fuerth 1829 (</w:t>
      </w:r>
      <w:r w:rsidRPr="006D4047">
        <w:rPr>
          <w:rFonts w:cstheme="minorHAnsi"/>
          <w:color w:val="222222"/>
          <w:sz w:val="22"/>
          <w:szCs w:val="22"/>
          <w:shd w:val="clear" w:color="auto" w:fill="FFFFFF"/>
        </w:rPr>
        <w:t>Maamar al Hadpasat ha-Talmud with Additions, ed. A.M. Habermann. Jerusalem, 1952 [Hebrew]</w:t>
      </w:r>
      <w:r>
        <w:rPr>
          <w:rFonts w:cstheme="minorHAnsi"/>
          <w:color w:val="222222"/>
          <w:sz w:val="22"/>
          <w:szCs w:val="22"/>
          <w:shd w:val="clear" w:color="auto" w:fill="FFFFFF"/>
        </w:rPr>
        <w:t xml:space="preserve"> </w:t>
      </w:r>
      <w:r>
        <w:t xml:space="preserve">p.132). However, it was only included for Masechet Berachot and Seder Zeraim. In 1832, Masechet Shabbat was printed without the Hagahot Ha’Bach. The rest of the Talmud was not printed there. </w:t>
      </w:r>
    </w:p>
    <w:p w14:paraId="620B6632" w14:textId="77777777" w:rsidR="00541F8E" w:rsidRDefault="00541F8E">
      <w:pPr>
        <w:pStyle w:val="EndnoteText"/>
      </w:pPr>
    </w:p>
  </w:endnote>
  <w:endnote w:id="9">
    <w:p w14:paraId="6A5C6B3F" w14:textId="77777777" w:rsidR="00541F8E" w:rsidRPr="007A4BB1" w:rsidRDefault="00541F8E" w:rsidP="007A4BB1">
      <w:pPr>
        <w:pStyle w:val="EndnoteText"/>
      </w:pPr>
      <w:r>
        <w:rPr>
          <w:rStyle w:val="EndnoteReference"/>
        </w:rPr>
        <w:endnoteRef/>
      </w:r>
      <w:r>
        <w:t xml:space="preserve"> See footnote above on the </w:t>
      </w:r>
      <w:r>
        <w:t xml:space="preserve">Fuerth edition which did not include Eruvin. There was an edition printed in Vienna from 1830-1833 but according to </w:t>
      </w:r>
      <w:r w:rsidRPr="007A4BB1">
        <w:rPr>
          <w:rFonts w:cstheme="minorHAnsi"/>
          <w:color w:val="222222"/>
          <w:sz w:val="22"/>
          <w:szCs w:val="22"/>
          <w:shd w:val="clear" w:color="auto" w:fill="FFFFFF"/>
        </w:rPr>
        <w:t>Maamar al Hadpasat ha-Talmud</w:t>
      </w:r>
      <w:r>
        <w:t xml:space="preserve">, it did not include the Hagahot Ha’Bach. There was also an edition of the Talmud printed in Prague between 1830-1835, but it also did not contain the Hagahot Ha’Bach. This makes the Vilna/Horodna edition of 1836 the first to include the Hagahot Ha’Bach on Eruvin. (See pages 133-134 of </w:t>
      </w:r>
      <w:r w:rsidRPr="007A4BB1">
        <w:rPr>
          <w:rFonts w:cstheme="minorHAnsi"/>
          <w:color w:val="222222"/>
          <w:shd w:val="clear" w:color="auto" w:fill="FFFFFF"/>
        </w:rPr>
        <w:t>Maamar al Hadpasat ha-Talmud</w:t>
      </w:r>
      <w:r>
        <w:rPr>
          <w:rFonts w:cstheme="minorHAnsi"/>
          <w:color w:val="222222"/>
          <w:shd w:val="clear" w:color="auto" w:fill="FFFFFF"/>
        </w:rPr>
        <w:t>)</w:t>
      </w:r>
    </w:p>
  </w:endnote>
  <w:endnote w:id="10">
    <w:p w14:paraId="768B3CFB" w14:textId="77777777" w:rsidR="00541F8E" w:rsidRDefault="00541F8E">
      <w:pPr>
        <w:pStyle w:val="EndnoteText"/>
      </w:pPr>
      <w:r>
        <w:rPr>
          <w:rStyle w:val="EndnoteReference"/>
        </w:rPr>
        <w:endnoteRef/>
      </w:r>
      <w:r>
        <w:t xml:space="preserve"> Warsaw 1860 is exactly the same as Vilna/</w:t>
      </w:r>
      <w:r>
        <w:t>Horodna 1836</w:t>
      </w:r>
    </w:p>
  </w:endnote>
  <w:endnote w:id="11">
    <w:p w14:paraId="56AF5501" w14:textId="77777777" w:rsidR="00541F8E" w:rsidRPr="006D4047" w:rsidRDefault="00541F8E" w:rsidP="006D4047">
      <w:pPr>
        <w:pStyle w:val="EndnoteText"/>
        <w:rPr>
          <w:rFonts w:cstheme="minorHAnsi"/>
          <w:color w:val="222222"/>
          <w:sz w:val="22"/>
          <w:szCs w:val="22"/>
          <w:shd w:val="clear" w:color="auto" w:fill="FFFFFF"/>
        </w:rPr>
      </w:pPr>
      <w:r>
        <w:rPr>
          <w:rStyle w:val="EndnoteReference"/>
        </w:rPr>
        <w:endnoteRef/>
      </w:r>
      <w:r>
        <w:t xml:space="preserve"> </w:t>
      </w:r>
      <w:r>
        <w:rPr>
          <w:rFonts w:ascii="Lora" w:hAnsi="Lora"/>
          <w:color w:val="222222"/>
          <w:sz w:val="29"/>
          <w:szCs w:val="29"/>
          <w:shd w:val="clear" w:color="auto" w:fill="FFFFFF"/>
        </w:rPr>
        <w:t> </w:t>
      </w:r>
      <w:r>
        <w:rPr>
          <w:rFonts w:cstheme="minorHAnsi"/>
          <w:color w:val="222222"/>
          <w:sz w:val="22"/>
          <w:szCs w:val="22"/>
          <w:shd w:val="clear" w:color="auto" w:fill="FFFFFF"/>
        </w:rPr>
        <w:t xml:space="preserve"> </w:t>
      </w:r>
      <w:r>
        <w:rPr>
          <w:rFonts w:cstheme="minorHAnsi"/>
          <w:color w:val="222222"/>
          <w:sz w:val="22"/>
          <w:szCs w:val="22"/>
          <w:shd w:val="clear" w:color="auto" w:fill="FFFFFF"/>
        </w:rPr>
        <w:t>Maamar al Hadpasat ha-Talmud….p.142 writes</w:t>
      </w:r>
      <w:r w:rsidRPr="006D4047">
        <w:rPr>
          <w:rFonts w:cstheme="minorHAnsi"/>
          <w:color w:val="222222"/>
          <w:sz w:val="22"/>
          <w:szCs w:val="22"/>
          <w:shd w:val="clear" w:color="auto" w:fill="FFFFFF"/>
        </w:rPr>
        <w:t>"</w:t>
      </w:r>
      <w:r w:rsidRPr="006D4047">
        <w:rPr>
          <w:rFonts w:cs="Times New Roman"/>
          <w:color w:val="222222"/>
          <w:sz w:val="22"/>
          <w:szCs w:val="22"/>
          <w:shd w:val="clear" w:color="auto" w:fill="FFFFFF"/>
          <w:rtl/>
          <w:lang w:bidi="he-IL"/>
        </w:rPr>
        <w:t>תבניתו פוליו גדול ויפה מאד</w:t>
      </w:r>
      <w:r w:rsidRPr="006D4047">
        <w:rPr>
          <w:rFonts w:cstheme="minorHAnsi"/>
          <w:color w:val="222222"/>
          <w:sz w:val="22"/>
          <w:szCs w:val="22"/>
          <w:shd w:val="clear" w:color="auto" w:fill="FFFFFF"/>
        </w:rPr>
        <w:t>"</w:t>
      </w:r>
    </w:p>
  </w:endnote>
  <w:endnote w:id="12">
    <w:p w14:paraId="1F5CEFE4" w14:textId="77777777" w:rsidR="00541F8E" w:rsidRDefault="00541F8E">
      <w:pPr>
        <w:pStyle w:val="EndnoteText"/>
      </w:pPr>
    </w:p>
    <w:p w14:paraId="4B6BC037" w14:textId="006A3D36" w:rsidR="00541F8E" w:rsidRDefault="00541F8E" w:rsidP="0079641F">
      <w:pPr>
        <w:pStyle w:val="EndnoteText"/>
      </w:pPr>
      <w:r>
        <w:rPr>
          <w:rStyle w:val="EndnoteReference"/>
        </w:rPr>
        <w:endnoteRef/>
      </w:r>
      <w:r>
        <w:t xml:space="preserve"> I examined three of the newer editions of Shas; Vilna </w:t>
      </w:r>
      <w:r>
        <w:t xml:space="preserve">HaChadash, Oz Vehdar and Vagshal Nehardea. They all had improved substantially on the picture depicted in the Vilna Shas. </w:t>
      </w:r>
    </w:p>
    <w:p w14:paraId="06BAEDBA" w14:textId="549C2FCA" w:rsidR="00D43CB4" w:rsidRDefault="00D43CB4" w:rsidP="0079641F">
      <w:pPr>
        <w:pStyle w:val="EndnoteText"/>
      </w:pPr>
      <w:r>
        <w:t>Here is Vagshal</w:t>
      </w:r>
    </w:p>
    <w:p w14:paraId="06E23872" w14:textId="2B93DABA" w:rsidR="00D43CB4" w:rsidRDefault="00552992" w:rsidP="0079641F">
      <w:pPr>
        <w:pStyle w:val="EndnoteText"/>
      </w:pPr>
      <w:hyperlink r:id="rId4" w:history="1">
        <w:r w:rsidR="00D43CB4">
          <w:rPr>
            <w:rStyle w:val="Hyperlink"/>
          </w:rPr>
          <w:t>https://hebrewbooks.org/pdfpager.aspx?req=37954&amp;st=&amp;pgnum=51</w:t>
        </w:r>
      </w:hyperlink>
    </w:p>
    <w:p w14:paraId="623ADDEC" w14:textId="138AA9E4" w:rsidR="00D43CB4" w:rsidRDefault="00D43CB4" w:rsidP="0079641F">
      <w:pPr>
        <w:pStyle w:val="EndnoteText"/>
      </w:pPr>
      <w:r>
        <w:rPr>
          <w:noProof/>
        </w:rPr>
        <w:drawing>
          <wp:inline distT="0" distB="0" distL="0" distR="0" wp14:anchorId="01E83C2D" wp14:editId="65233A91">
            <wp:extent cx="3451860" cy="1774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51860" cy="1774190"/>
                    </a:xfrm>
                    <a:prstGeom prst="rect">
                      <a:avLst/>
                    </a:prstGeom>
                    <a:noFill/>
                    <a:ln>
                      <a:noFill/>
                    </a:ln>
                  </pic:spPr>
                </pic:pic>
              </a:graphicData>
            </a:graphic>
          </wp:inline>
        </w:drawing>
      </w:r>
    </w:p>
    <w:p w14:paraId="7FB9D545" w14:textId="77777777" w:rsidR="00541F8E" w:rsidRDefault="00541F8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ora">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3B5C4A8C" w14:paraId="7E4A7B7F" w14:textId="77777777" w:rsidTr="3B5C4A8C">
      <w:tc>
        <w:tcPr>
          <w:tcW w:w="3120" w:type="dxa"/>
        </w:tcPr>
        <w:p w14:paraId="2EDAE48B" w14:textId="53DAF606" w:rsidR="3B5C4A8C" w:rsidRDefault="3B5C4A8C" w:rsidP="3B5C4A8C">
          <w:pPr>
            <w:pStyle w:val="Header"/>
            <w:ind w:left="-115"/>
          </w:pPr>
        </w:p>
      </w:tc>
      <w:tc>
        <w:tcPr>
          <w:tcW w:w="3120" w:type="dxa"/>
        </w:tcPr>
        <w:p w14:paraId="5A3F871B" w14:textId="664A6F70" w:rsidR="3B5C4A8C" w:rsidRDefault="3B5C4A8C" w:rsidP="3B5C4A8C">
          <w:pPr>
            <w:pStyle w:val="Header"/>
            <w:jc w:val="center"/>
          </w:pPr>
        </w:p>
      </w:tc>
      <w:tc>
        <w:tcPr>
          <w:tcW w:w="3120" w:type="dxa"/>
        </w:tcPr>
        <w:p w14:paraId="67E16E5C" w14:textId="6AEBF645" w:rsidR="3B5C4A8C" w:rsidRDefault="3B5C4A8C" w:rsidP="3B5C4A8C">
          <w:pPr>
            <w:pStyle w:val="Header"/>
            <w:ind w:right="-115"/>
            <w:jc w:val="right"/>
          </w:pPr>
        </w:p>
      </w:tc>
    </w:tr>
  </w:tbl>
  <w:p w14:paraId="47CB7D51" w14:textId="36E935E9" w:rsidR="3B5C4A8C" w:rsidRDefault="3B5C4A8C" w:rsidP="3B5C4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C1D458" w14:textId="77777777" w:rsidR="00552992" w:rsidRDefault="00552992" w:rsidP="00FF76F5">
      <w:pPr>
        <w:spacing w:after="0" w:line="240" w:lineRule="auto"/>
      </w:pPr>
      <w:r>
        <w:separator/>
      </w:r>
    </w:p>
  </w:footnote>
  <w:footnote w:type="continuationSeparator" w:id="0">
    <w:p w14:paraId="682013B2" w14:textId="77777777" w:rsidR="00552992" w:rsidRDefault="00552992" w:rsidP="00FF76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3B5C4A8C" w14:paraId="29AFE6AA" w14:textId="77777777" w:rsidTr="3B5C4A8C">
      <w:tc>
        <w:tcPr>
          <w:tcW w:w="3120" w:type="dxa"/>
        </w:tcPr>
        <w:p w14:paraId="5A614BF0" w14:textId="6ADD6932" w:rsidR="3B5C4A8C" w:rsidRDefault="3B5C4A8C" w:rsidP="3B5C4A8C">
          <w:pPr>
            <w:pStyle w:val="Header"/>
            <w:ind w:left="-115"/>
          </w:pPr>
        </w:p>
      </w:tc>
      <w:tc>
        <w:tcPr>
          <w:tcW w:w="3120" w:type="dxa"/>
        </w:tcPr>
        <w:p w14:paraId="47960A5D" w14:textId="3EAEE3F4" w:rsidR="3B5C4A8C" w:rsidRDefault="3B5C4A8C" w:rsidP="3B5C4A8C">
          <w:pPr>
            <w:pStyle w:val="Header"/>
            <w:jc w:val="center"/>
          </w:pPr>
        </w:p>
      </w:tc>
      <w:tc>
        <w:tcPr>
          <w:tcW w:w="3120" w:type="dxa"/>
        </w:tcPr>
        <w:p w14:paraId="6D1523AC" w14:textId="42107953" w:rsidR="3B5C4A8C" w:rsidRDefault="3B5C4A8C" w:rsidP="3B5C4A8C">
          <w:pPr>
            <w:pStyle w:val="Header"/>
            <w:ind w:right="-115"/>
            <w:jc w:val="right"/>
          </w:pPr>
        </w:p>
      </w:tc>
    </w:tr>
  </w:tbl>
  <w:p w14:paraId="01C4132F" w14:textId="5430C103" w:rsidR="3B5C4A8C" w:rsidRDefault="3B5C4A8C" w:rsidP="3B5C4A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E82729E"/>
    <w:multiLevelType w:val="hybridMultilevel"/>
    <w:tmpl w:val="A8100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DB"/>
    <w:rsid w:val="000536DB"/>
    <w:rsid w:val="00092F68"/>
    <w:rsid w:val="00100AB1"/>
    <w:rsid w:val="00126B3B"/>
    <w:rsid w:val="00174AE8"/>
    <w:rsid w:val="00176798"/>
    <w:rsid w:val="001D66DB"/>
    <w:rsid w:val="001E5587"/>
    <w:rsid w:val="00231869"/>
    <w:rsid w:val="00260257"/>
    <w:rsid w:val="002631FA"/>
    <w:rsid w:val="002745F2"/>
    <w:rsid w:val="002A2BC0"/>
    <w:rsid w:val="002A36AE"/>
    <w:rsid w:val="002F0E8A"/>
    <w:rsid w:val="003255E1"/>
    <w:rsid w:val="00351D01"/>
    <w:rsid w:val="003D32B8"/>
    <w:rsid w:val="003D3A1E"/>
    <w:rsid w:val="003F5959"/>
    <w:rsid w:val="00404C5D"/>
    <w:rsid w:val="00430571"/>
    <w:rsid w:val="00456417"/>
    <w:rsid w:val="0045781F"/>
    <w:rsid w:val="00467797"/>
    <w:rsid w:val="004749FD"/>
    <w:rsid w:val="004776C5"/>
    <w:rsid w:val="00491C39"/>
    <w:rsid w:val="004928F6"/>
    <w:rsid w:val="004A2130"/>
    <w:rsid w:val="004B70D9"/>
    <w:rsid w:val="00541F8E"/>
    <w:rsid w:val="00552992"/>
    <w:rsid w:val="005633B9"/>
    <w:rsid w:val="00567A96"/>
    <w:rsid w:val="005806F9"/>
    <w:rsid w:val="0059539C"/>
    <w:rsid w:val="00597C8D"/>
    <w:rsid w:val="005C5D3E"/>
    <w:rsid w:val="005E1C8F"/>
    <w:rsid w:val="0065098B"/>
    <w:rsid w:val="006538F6"/>
    <w:rsid w:val="006A169C"/>
    <w:rsid w:val="006D4047"/>
    <w:rsid w:val="006E7EB4"/>
    <w:rsid w:val="006F7529"/>
    <w:rsid w:val="0077018F"/>
    <w:rsid w:val="007754B9"/>
    <w:rsid w:val="00793448"/>
    <w:rsid w:val="00794C57"/>
    <w:rsid w:val="0079641F"/>
    <w:rsid w:val="007A4BB1"/>
    <w:rsid w:val="007F003B"/>
    <w:rsid w:val="00817546"/>
    <w:rsid w:val="0092109F"/>
    <w:rsid w:val="00952D2D"/>
    <w:rsid w:val="00973EA4"/>
    <w:rsid w:val="00980001"/>
    <w:rsid w:val="009A1BAF"/>
    <w:rsid w:val="00A302E9"/>
    <w:rsid w:val="00A35834"/>
    <w:rsid w:val="00AD7B91"/>
    <w:rsid w:val="00B0665C"/>
    <w:rsid w:val="00B508AD"/>
    <w:rsid w:val="00BA36E1"/>
    <w:rsid w:val="00BC70AC"/>
    <w:rsid w:val="00C2586C"/>
    <w:rsid w:val="00C50B37"/>
    <w:rsid w:val="00C645E9"/>
    <w:rsid w:val="00C77623"/>
    <w:rsid w:val="00CA783D"/>
    <w:rsid w:val="00CF5D0E"/>
    <w:rsid w:val="00D43CB4"/>
    <w:rsid w:val="00D542F1"/>
    <w:rsid w:val="00D71CAA"/>
    <w:rsid w:val="00DC3F18"/>
    <w:rsid w:val="00E27CE9"/>
    <w:rsid w:val="00F65C89"/>
    <w:rsid w:val="00F75B00"/>
    <w:rsid w:val="00FB036B"/>
    <w:rsid w:val="00FF76F5"/>
    <w:rsid w:val="3B5C4A8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CA7F0"/>
  <w15:docId w15:val="{FF8273BA-C7CF-4ECB-9500-F5FB29C30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8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3448"/>
    <w:pPr>
      <w:ind w:left="720"/>
      <w:contextualSpacing/>
    </w:pPr>
  </w:style>
  <w:style w:type="paragraph" w:styleId="NormalWeb">
    <w:name w:val="Normal (Web)"/>
    <w:basedOn w:val="Normal"/>
    <w:uiPriority w:val="99"/>
    <w:semiHidden/>
    <w:unhideWhenUsed/>
    <w:rsid w:val="00126B3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xm6802422899409983967exldetailsdisplayval">
    <w:name w:val="x_m_6802422899409983967exldetailsdisplayval"/>
    <w:basedOn w:val="DefaultParagraphFont"/>
    <w:rsid w:val="00126B3B"/>
  </w:style>
  <w:style w:type="character" w:styleId="Hyperlink">
    <w:name w:val="Hyperlink"/>
    <w:basedOn w:val="DefaultParagraphFont"/>
    <w:uiPriority w:val="99"/>
    <w:unhideWhenUsed/>
    <w:rsid w:val="003F5959"/>
    <w:rPr>
      <w:color w:val="0000FF"/>
      <w:u w:val="single"/>
    </w:rPr>
  </w:style>
  <w:style w:type="paragraph" w:styleId="EndnoteText">
    <w:name w:val="endnote text"/>
    <w:basedOn w:val="Normal"/>
    <w:link w:val="EndnoteTextChar"/>
    <w:uiPriority w:val="99"/>
    <w:semiHidden/>
    <w:unhideWhenUsed/>
    <w:rsid w:val="00FF76F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F76F5"/>
    <w:rPr>
      <w:sz w:val="20"/>
      <w:szCs w:val="20"/>
    </w:rPr>
  </w:style>
  <w:style w:type="character" w:styleId="EndnoteReference">
    <w:name w:val="endnote reference"/>
    <w:basedOn w:val="DefaultParagraphFont"/>
    <w:uiPriority w:val="99"/>
    <w:semiHidden/>
    <w:unhideWhenUsed/>
    <w:rsid w:val="00FF76F5"/>
    <w:rPr>
      <w:vertAlign w:val="superscript"/>
    </w:rPr>
  </w:style>
  <w:style w:type="character" w:styleId="Emphasis">
    <w:name w:val="Emphasis"/>
    <w:basedOn w:val="DefaultParagraphFont"/>
    <w:uiPriority w:val="20"/>
    <w:qFormat/>
    <w:rsid w:val="001E5587"/>
    <w:rPr>
      <w:i/>
      <w:iCs/>
    </w:rPr>
  </w:style>
  <w:style w:type="paragraph" w:styleId="BalloonText">
    <w:name w:val="Balloon Text"/>
    <w:basedOn w:val="Normal"/>
    <w:link w:val="BalloonTextChar"/>
    <w:uiPriority w:val="99"/>
    <w:semiHidden/>
    <w:unhideWhenUsed/>
    <w:rsid w:val="009210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09F"/>
    <w:rPr>
      <w:rFonts w:ascii="Tahoma" w:hAnsi="Tahoma" w:cs="Tahoma"/>
      <w:sz w:val="16"/>
      <w:szCs w:val="16"/>
    </w:rPr>
  </w:style>
  <w:style w:type="paragraph" w:customStyle="1" w:styleId="xmsonormal">
    <w:name w:val="x_msonormal"/>
    <w:basedOn w:val="Normal"/>
    <w:rsid w:val="00C7762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FootnoteText">
    <w:name w:val="footnote text"/>
    <w:basedOn w:val="Normal"/>
    <w:link w:val="FootnoteTextChar"/>
    <w:uiPriority w:val="99"/>
    <w:semiHidden/>
    <w:unhideWhenUsed/>
    <w:rsid w:val="004564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6417"/>
    <w:rPr>
      <w:sz w:val="20"/>
      <w:szCs w:val="20"/>
    </w:rPr>
  </w:style>
  <w:style w:type="character" w:styleId="FootnoteReference">
    <w:name w:val="footnote reference"/>
    <w:basedOn w:val="DefaultParagraphFont"/>
    <w:uiPriority w:val="99"/>
    <w:semiHidden/>
    <w:unhideWhenUsed/>
    <w:rsid w:val="00456417"/>
    <w:rPr>
      <w:vertAlign w:val="superscript"/>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UnresolvedMention">
    <w:name w:val="Unresolved Mention"/>
    <w:basedOn w:val="DefaultParagraphFont"/>
    <w:uiPriority w:val="99"/>
    <w:semiHidden/>
    <w:unhideWhenUsed/>
    <w:rsid w:val="00C258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438590">
      <w:bodyDiv w:val="1"/>
      <w:marLeft w:val="0"/>
      <w:marRight w:val="0"/>
      <w:marTop w:val="0"/>
      <w:marBottom w:val="0"/>
      <w:divBdr>
        <w:top w:val="none" w:sz="0" w:space="0" w:color="auto"/>
        <w:left w:val="none" w:sz="0" w:space="0" w:color="auto"/>
        <w:bottom w:val="none" w:sz="0" w:space="0" w:color="auto"/>
        <w:right w:val="none" w:sz="0" w:space="0" w:color="auto"/>
      </w:divBdr>
    </w:div>
    <w:div w:id="1584798505">
      <w:bodyDiv w:val="1"/>
      <w:marLeft w:val="0"/>
      <w:marRight w:val="0"/>
      <w:marTop w:val="0"/>
      <w:marBottom w:val="0"/>
      <w:divBdr>
        <w:top w:val="none" w:sz="0" w:space="0" w:color="auto"/>
        <w:left w:val="none" w:sz="0" w:space="0" w:color="auto"/>
        <w:bottom w:val="none" w:sz="0" w:space="0" w:color="auto"/>
        <w:right w:val="none" w:sz="0" w:space="0" w:color="auto"/>
      </w:divBdr>
    </w:div>
    <w:div w:id="1889224854">
      <w:bodyDiv w:val="1"/>
      <w:marLeft w:val="0"/>
      <w:marRight w:val="0"/>
      <w:marTop w:val="0"/>
      <w:marBottom w:val="0"/>
      <w:divBdr>
        <w:top w:val="none" w:sz="0" w:space="0" w:color="auto"/>
        <w:left w:val="none" w:sz="0" w:space="0" w:color="auto"/>
        <w:bottom w:val="none" w:sz="0" w:space="0" w:color="auto"/>
        <w:right w:val="none" w:sz="0" w:space="0" w:color="auto"/>
      </w:divBdr>
      <w:divsChild>
        <w:div w:id="234052167">
          <w:marLeft w:val="0"/>
          <w:marRight w:val="0"/>
          <w:marTop w:val="0"/>
          <w:marBottom w:val="0"/>
          <w:divBdr>
            <w:top w:val="none" w:sz="0" w:space="0" w:color="auto"/>
            <w:left w:val="none" w:sz="0" w:space="0" w:color="auto"/>
            <w:bottom w:val="none" w:sz="0" w:space="0" w:color="auto"/>
            <w:right w:val="none" w:sz="0" w:space="0" w:color="auto"/>
          </w:divBdr>
        </w:div>
        <w:div w:id="1990745816">
          <w:marLeft w:val="0"/>
          <w:marRight w:val="0"/>
          <w:marTop w:val="0"/>
          <w:marBottom w:val="0"/>
          <w:divBdr>
            <w:top w:val="none" w:sz="0" w:space="0" w:color="auto"/>
            <w:left w:val="none" w:sz="0" w:space="0" w:color="auto"/>
            <w:bottom w:val="none" w:sz="0" w:space="0" w:color="auto"/>
            <w:right w:val="none" w:sz="0" w:space="0" w:color="auto"/>
          </w:divBdr>
        </w:div>
        <w:div w:id="868640378">
          <w:marLeft w:val="0"/>
          <w:marRight w:val="0"/>
          <w:marTop w:val="0"/>
          <w:marBottom w:val="0"/>
          <w:divBdr>
            <w:top w:val="none" w:sz="0" w:space="0" w:color="auto"/>
            <w:left w:val="none" w:sz="0" w:space="0" w:color="auto"/>
            <w:bottom w:val="none" w:sz="0" w:space="0" w:color="auto"/>
            <w:right w:val="none" w:sz="0" w:space="0" w:color="auto"/>
          </w:divBdr>
        </w:div>
        <w:div w:id="221140557">
          <w:marLeft w:val="0"/>
          <w:marRight w:val="0"/>
          <w:marTop w:val="0"/>
          <w:marBottom w:val="0"/>
          <w:divBdr>
            <w:top w:val="none" w:sz="0" w:space="0" w:color="auto"/>
            <w:left w:val="none" w:sz="0" w:space="0" w:color="auto"/>
            <w:bottom w:val="none" w:sz="0" w:space="0" w:color="auto"/>
            <w:right w:val="none" w:sz="0" w:space="0" w:color="auto"/>
          </w:divBdr>
        </w:div>
        <w:div w:id="1772775505">
          <w:marLeft w:val="0"/>
          <w:marRight w:val="0"/>
          <w:marTop w:val="0"/>
          <w:marBottom w:val="0"/>
          <w:divBdr>
            <w:top w:val="none" w:sz="0" w:space="0" w:color="auto"/>
            <w:left w:val="none" w:sz="0" w:space="0" w:color="auto"/>
            <w:bottom w:val="none" w:sz="0" w:space="0" w:color="auto"/>
            <w:right w:val="none" w:sz="0" w:space="0" w:color="auto"/>
          </w:divBdr>
        </w:div>
        <w:div w:id="319969750">
          <w:marLeft w:val="0"/>
          <w:marRight w:val="0"/>
          <w:marTop w:val="0"/>
          <w:marBottom w:val="0"/>
          <w:divBdr>
            <w:top w:val="none" w:sz="0" w:space="0" w:color="auto"/>
            <w:left w:val="none" w:sz="0" w:space="0" w:color="auto"/>
            <w:bottom w:val="none" w:sz="0" w:space="0" w:color="auto"/>
            <w:right w:val="none" w:sz="0" w:space="0" w:color="auto"/>
          </w:divBdr>
        </w:div>
        <w:div w:id="80416128">
          <w:marLeft w:val="0"/>
          <w:marRight w:val="0"/>
          <w:marTop w:val="0"/>
          <w:marBottom w:val="0"/>
          <w:divBdr>
            <w:top w:val="none" w:sz="0" w:space="0" w:color="auto"/>
            <w:left w:val="none" w:sz="0" w:space="0" w:color="auto"/>
            <w:bottom w:val="none" w:sz="0" w:space="0" w:color="auto"/>
            <w:right w:val="none" w:sz="0" w:space="0" w:color="auto"/>
          </w:divBdr>
        </w:div>
        <w:div w:id="2001689072">
          <w:marLeft w:val="0"/>
          <w:marRight w:val="0"/>
          <w:marTop w:val="0"/>
          <w:marBottom w:val="0"/>
          <w:divBdr>
            <w:top w:val="none" w:sz="0" w:space="0" w:color="auto"/>
            <w:left w:val="none" w:sz="0" w:space="0" w:color="auto"/>
            <w:bottom w:val="none" w:sz="0" w:space="0" w:color="auto"/>
            <w:right w:val="none" w:sz="0" w:space="0" w:color="auto"/>
          </w:divBdr>
        </w:div>
      </w:divsChild>
    </w:div>
    <w:div w:id="194499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eb.nli.org.il/sites/NLI/English/digitallibrary/pages/viewer.aspx?&amp;presentorid=MANUSCRIPTS&amp;docid=PNX_MANUSCRIPTS990000891680205171" TargetMode="Externa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iles.daf-yomi.com/klali/lilmod/chavruta-english-eruvin1.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hebrewbooks.org/pdfpager.aspx?req=47535&amp;st=&amp;pgnum=46" TargetMode="External"/><Relationship Id="rId14" Type="http://schemas.openxmlformats.org/officeDocument/2006/relationships/image" Target="media/image5.jpeg"/><Relationship Id="rId22" Type="http://schemas.openxmlformats.org/officeDocument/2006/relationships/image" Target="media/image15.png"/><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17.png"/><Relationship Id="rId4" Type="http://schemas.openxmlformats.org/officeDocument/2006/relationships/hyperlink" Target="https://hebrewbooks.org/pdfpager.aspx?req=37954&amp;st=&amp;pgnum=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0E4D8-F6CB-4174-ACF0-880A83E9D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8</Pages>
  <Words>1206</Words>
  <Characters>6876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 Genauer</dc:creator>
  <cp:keywords/>
  <dc:description/>
  <cp:lastModifiedBy>Eli Genauer</cp:lastModifiedBy>
  <cp:revision>8</cp:revision>
  <cp:lastPrinted>2019-09-16T18:43:00Z</cp:lastPrinted>
  <dcterms:created xsi:type="dcterms:W3CDTF">2020-07-15T02:29:00Z</dcterms:created>
  <dcterms:modified xsi:type="dcterms:W3CDTF">2020-08-26T17:17:00Z</dcterms:modified>
</cp:coreProperties>
</file>