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3A28E" w14:textId="3368590E" w:rsidR="006B6F1D" w:rsidRDefault="006B6F1D" w:rsidP="00742624">
      <w:pPr>
        <w:bidi/>
        <w:rPr>
          <w:rFonts w:ascii="David" w:eastAsia="David" w:hAnsi="David" w:cs="David"/>
          <w:sz w:val="39"/>
          <w:szCs w:val="39"/>
        </w:rPr>
      </w:pPr>
      <w:r>
        <w:rPr>
          <w:rFonts w:ascii="David" w:eastAsia="David" w:hAnsi="David" w:cs="David"/>
          <w:sz w:val="39"/>
          <w:szCs w:val="39"/>
        </w:rPr>
        <w:t xml:space="preserve">                                     </w:t>
      </w:r>
      <w:r w:rsidRPr="19C65D9D">
        <w:rPr>
          <w:rFonts w:ascii="David" w:eastAsia="David" w:hAnsi="David" w:cs="David"/>
          <w:sz w:val="39"/>
          <w:szCs w:val="39"/>
          <w:rtl/>
        </w:rPr>
        <w:t>כירה שנחלקה לאורכה</w:t>
      </w:r>
    </w:p>
    <w:p w14:paraId="698B0930" w14:textId="3E54A458" w:rsidR="00742624" w:rsidRPr="00742624" w:rsidRDefault="00742624" w:rsidP="00742624">
      <w:pPr>
        <w:bidi/>
        <w:rPr>
          <w:rFonts w:eastAsia="David" w:cstheme="minorHAnsi"/>
          <w:lang w:bidi="he-IL"/>
        </w:rPr>
      </w:pPr>
      <w:r>
        <w:rPr>
          <w:rFonts w:ascii="David" w:eastAsia="David" w:hAnsi="David" w:cs="David"/>
          <w:sz w:val="39"/>
          <w:szCs w:val="39"/>
          <w:lang w:bidi="he-IL"/>
        </w:rPr>
        <w:t xml:space="preserve">                              </w:t>
      </w:r>
      <w:r w:rsidRPr="00742624">
        <w:rPr>
          <w:rFonts w:eastAsia="David" w:cstheme="minorHAnsi"/>
          <w:lang w:bidi="he-IL"/>
        </w:rPr>
        <w:t xml:space="preserve">                                 </w:t>
      </w:r>
      <w:r w:rsidRPr="00742624">
        <w:rPr>
          <w:rFonts w:eastAsia="David" w:cstheme="minorHAnsi"/>
          <w:rtl/>
          <w:lang w:bidi="he-IL"/>
        </w:rPr>
        <w:t>מסכת שבת ל״ח׃</w:t>
      </w:r>
    </w:p>
    <w:p w14:paraId="230F1DFF" w14:textId="26A9EF44" w:rsidR="00742624" w:rsidRPr="00742624" w:rsidRDefault="00742624" w:rsidP="00742624">
      <w:pPr>
        <w:bidi/>
        <w:rPr>
          <w:rFonts w:ascii="David" w:eastAsia="David" w:hAnsi="David" w:cs="David"/>
        </w:rPr>
      </w:pPr>
      <w:r w:rsidRPr="00742624">
        <w:rPr>
          <w:rFonts w:ascii="David" w:eastAsia="David" w:hAnsi="David" w:cs="David"/>
          <w:lang w:bidi="he-IL"/>
        </w:rPr>
        <w:t xml:space="preserve"> </w:t>
      </w:r>
      <w:r>
        <w:rPr>
          <w:rFonts w:ascii="David" w:eastAsia="David" w:hAnsi="David" w:cs="David"/>
          <w:lang w:bidi="he-IL"/>
        </w:rPr>
        <w:t xml:space="preserve">                                            </w:t>
      </w:r>
      <w:r w:rsidRPr="00742624">
        <w:rPr>
          <w:rFonts w:ascii="David" w:eastAsia="David" w:hAnsi="David" w:cs="David"/>
          <w:lang w:bidi="he-IL"/>
        </w:rPr>
        <w:t xml:space="preserve">                                           </w:t>
      </w:r>
      <w:r w:rsidRPr="00742624">
        <w:rPr>
          <w:rFonts w:ascii="David" w:eastAsia="David" w:hAnsi="David" w:cs="David"/>
          <w:rtl/>
          <w:lang w:bidi="he-IL"/>
        </w:rPr>
        <w:t>מאת: אלי גנאור</w:t>
      </w:r>
    </w:p>
    <w:p w14:paraId="46B234FF" w14:textId="0893057E" w:rsidR="19C65D9D" w:rsidRDefault="003F21B9" w:rsidP="003F21B9">
      <w:pPr>
        <w:bidi/>
        <w:rPr>
          <w:rFonts w:ascii="David" w:hAnsi="David" w:cs="David"/>
          <w:sz w:val="28"/>
          <w:szCs w:val="28"/>
        </w:rPr>
      </w:pPr>
      <w:r w:rsidRPr="00742624">
        <w:rPr>
          <w:rFonts w:ascii="David" w:hAnsi="David" w:cs="David"/>
          <w:sz w:val="28"/>
          <w:szCs w:val="28"/>
          <w:rtl/>
          <w:lang w:bidi="he-IL"/>
        </w:rPr>
        <w:t>מתני׳: תנור שהסיקוהו בקש ובגבבא לא יתן בין מתוכו בין מעל גביו</w:t>
      </w:r>
      <w:r w:rsidRPr="00742624">
        <w:rPr>
          <w:rFonts w:ascii="David" w:hAnsi="David" w:cs="David"/>
          <w:sz w:val="28"/>
          <w:szCs w:val="28"/>
          <w:lang w:bidi="he-IL"/>
        </w:rPr>
        <w:t>,</w:t>
      </w:r>
      <w:r w:rsidRPr="00742624">
        <w:rPr>
          <w:rFonts w:ascii="David" w:hAnsi="David" w:cs="David"/>
          <w:sz w:val="28"/>
          <w:szCs w:val="28"/>
          <w:rtl/>
          <w:lang w:bidi="he-IL"/>
        </w:rPr>
        <w:t xml:space="preserve"> כופח שהסיקוהו בקש ובגבבא הרי זה ככיריים</w:t>
      </w:r>
      <w:r w:rsidRPr="00742624">
        <w:rPr>
          <w:rFonts w:ascii="David" w:hAnsi="David" w:cs="David"/>
          <w:sz w:val="28"/>
          <w:szCs w:val="28"/>
          <w:lang w:bidi="he-IL"/>
        </w:rPr>
        <w:t>,</w:t>
      </w:r>
      <w:r w:rsidRPr="00742624">
        <w:rPr>
          <w:rFonts w:ascii="David" w:hAnsi="David" w:cs="David"/>
          <w:sz w:val="28"/>
          <w:szCs w:val="28"/>
          <w:rtl/>
          <w:lang w:bidi="he-IL"/>
        </w:rPr>
        <w:t xml:space="preserve"> בגפת ובעצים הרי הוא כתנור</w:t>
      </w:r>
      <w:r w:rsidRPr="00742624">
        <w:rPr>
          <w:rFonts w:ascii="David" w:hAnsi="David" w:cs="David"/>
          <w:sz w:val="28"/>
          <w:szCs w:val="28"/>
        </w:rPr>
        <w:t>:</w:t>
      </w:r>
    </w:p>
    <w:p w14:paraId="668D4425" w14:textId="77777777" w:rsidR="00742624" w:rsidRPr="00742624" w:rsidRDefault="00742624" w:rsidP="00742624">
      <w:pPr>
        <w:bidi/>
        <w:rPr>
          <w:rFonts w:ascii="David" w:hAnsi="David" w:cs="David"/>
          <w:sz w:val="28"/>
          <w:szCs w:val="28"/>
        </w:rPr>
      </w:pPr>
      <w:r w:rsidRPr="00742624">
        <w:rPr>
          <w:rFonts w:ascii="David" w:hAnsi="David" w:cs="David"/>
          <w:sz w:val="28"/>
          <w:szCs w:val="28"/>
          <w:rtl/>
          <w:lang w:bidi="he-IL"/>
        </w:rPr>
        <w:t>תלמוד מהדורת ויליאם דוידסון- באתר "ספריה"</w:t>
      </w:r>
    </w:p>
    <w:p w14:paraId="660CA096" w14:textId="547C2C9C" w:rsidR="00742624" w:rsidRPr="00742624" w:rsidRDefault="00742624" w:rsidP="00742624">
      <w:pPr>
        <w:bidi/>
        <w:rPr>
          <w:rFonts w:ascii="David" w:hAnsi="David" w:cs="David"/>
          <w:sz w:val="28"/>
          <w:szCs w:val="28"/>
        </w:rPr>
      </w:pPr>
      <w:r w:rsidRPr="00742624">
        <w:rPr>
          <w:rFonts w:ascii="David" w:hAnsi="David" w:cs="David"/>
          <w:sz w:val="28"/>
          <w:szCs w:val="28"/>
          <w:rtl/>
          <w:lang w:bidi="he-IL"/>
        </w:rPr>
        <w:t>ביאור הרב שטיינזלץ</w:t>
      </w:r>
    </w:p>
    <w:p w14:paraId="5D828ADF" w14:textId="0D797BE7" w:rsidR="00742624" w:rsidRPr="009942E9" w:rsidRDefault="00742624" w:rsidP="00742624">
      <w:pPr>
        <w:bidi/>
        <w:rPr>
          <w:rFonts w:ascii="David" w:hAnsi="David" w:cs="David"/>
          <w:sz w:val="24"/>
          <w:szCs w:val="24"/>
        </w:rPr>
      </w:pPr>
      <w:r w:rsidRPr="009942E9">
        <w:rPr>
          <w:rFonts w:ascii="David" w:hAnsi="David" w:cs="David"/>
          <w:sz w:val="24"/>
          <w:szCs w:val="24"/>
          <w:rtl/>
          <w:lang w:bidi="he-IL"/>
        </w:rPr>
        <w:t>משנה: ההלכות שנאמרו בדיני כירה היו מיוחדות לכירה בלבד בשל המבנה המיוחד שלה, והאופן בו היא שומרת חום. ואולם בכלי אפייה אחרים כגון תנור או כופח יש דינים אחרים. ומפרטים: תנור שהסיקוהו אפילו בקש או בגבבא — לא יתן קדירה עליו בשבת, בין מתוכו בין מעל גביו. ואילו כופח, אם הסיקוהו בקש או בגבבא — הרי זה דינו ככיריים, ומותר להניח עליו קדירה בשבת. ואם הסיקוהו בגפת או בעצים — הרי הוא כתנור, ואסור.</w:t>
      </w:r>
    </w:p>
    <w:p w14:paraId="5B944ABA" w14:textId="77777777" w:rsidR="00034222" w:rsidRPr="009942E9" w:rsidRDefault="00963331" w:rsidP="003F21B9">
      <w:pPr>
        <w:rPr>
          <w:rFonts w:eastAsia="David" w:cstheme="minorHAnsi"/>
        </w:rPr>
      </w:pPr>
      <w:r w:rsidRPr="009942E9">
        <w:rPr>
          <w:rFonts w:cstheme="minorHAnsi"/>
        </w:rPr>
        <w:t xml:space="preserve">The Mishna talks about a </w:t>
      </w:r>
      <w:r w:rsidRPr="009942E9">
        <w:rPr>
          <w:rFonts w:cstheme="minorHAnsi"/>
          <w:rtl/>
          <w:lang w:bidi="he-IL"/>
        </w:rPr>
        <w:t>כופח</w:t>
      </w:r>
      <w:r w:rsidRPr="009942E9">
        <w:rPr>
          <w:rFonts w:cstheme="minorHAnsi"/>
          <w:lang w:bidi="he-IL"/>
        </w:rPr>
        <w:t xml:space="preserve"> and its relationship to a </w:t>
      </w:r>
      <w:r w:rsidRPr="009942E9">
        <w:rPr>
          <w:rFonts w:eastAsia="David" w:cstheme="minorHAnsi"/>
          <w:rtl/>
        </w:rPr>
        <w:t>כירה</w:t>
      </w:r>
      <w:r w:rsidRPr="009942E9">
        <w:rPr>
          <w:rFonts w:eastAsia="David" w:cstheme="minorHAnsi"/>
        </w:rPr>
        <w:t xml:space="preserve">. </w:t>
      </w:r>
    </w:p>
    <w:p w14:paraId="0A122ABE" w14:textId="4FAA83EF" w:rsidR="00963331" w:rsidRPr="004B7A19" w:rsidRDefault="00963331" w:rsidP="003F21B9">
      <w:pPr>
        <w:rPr>
          <w:rFonts w:ascii="David" w:eastAsia="David" w:hAnsi="David" w:cs="David"/>
          <w:sz w:val="28"/>
          <w:szCs w:val="28"/>
        </w:rPr>
      </w:pPr>
      <w:r w:rsidRPr="009942E9">
        <w:rPr>
          <w:rFonts w:eastAsia="David" w:cstheme="minorHAnsi"/>
        </w:rPr>
        <w:t>The Gemara then asks</w:t>
      </w:r>
      <w:r w:rsidRPr="004B7A19">
        <w:rPr>
          <w:rFonts w:ascii="David" w:eastAsia="David" w:hAnsi="David" w:cs="David"/>
          <w:sz w:val="28"/>
          <w:szCs w:val="28"/>
        </w:rPr>
        <w:t>:</w:t>
      </w:r>
    </w:p>
    <w:p w14:paraId="1A13FC80" w14:textId="24CFAA99" w:rsidR="00963331" w:rsidRPr="009942E9" w:rsidRDefault="00963331" w:rsidP="00963331">
      <w:pPr>
        <w:bidi/>
        <w:rPr>
          <w:rFonts w:ascii="David" w:eastAsia="David" w:hAnsi="David" w:cs="David"/>
          <w:sz w:val="24"/>
          <w:szCs w:val="24"/>
          <w:lang w:bidi="he-IL"/>
        </w:rPr>
      </w:pPr>
      <w:r w:rsidRPr="009942E9">
        <w:rPr>
          <w:rFonts w:ascii="David" w:eastAsia="David" w:hAnsi="David" w:cs="David"/>
          <w:sz w:val="24"/>
          <w:szCs w:val="24"/>
          <w:rtl/>
          <w:lang w:bidi="he-IL"/>
        </w:rPr>
        <w:t>היכי דמי כופח</w:t>
      </w:r>
      <w:r w:rsidR="000670B9"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היכי דמי כירה</w:t>
      </w:r>
      <w:r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אמר רבי יוסי בר חנינא כופח מקום שפיתת קדרה אחת</w:t>
      </w:r>
      <w:r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כירה מקום שפיתת שתי קדרות</w:t>
      </w:r>
      <w:r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אמר אביי ואיתימא רבי ירמיה אף אנן נמי תנינא</w:t>
      </w:r>
      <w:r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כירה שנחלקה לאורכה טהורה</w:t>
      </w:r>
      <w:r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לרחבה טמאה</w:t>
      </w:r>
      <w:r w:rsidRPr="009942E9">
        <w:rPr>
          <w:rFonts w:ascii="David" w:eastAsia="David" w:hAnsi="David" w:cs="David"/>
          <w:sz w:val="24"/>
          <w:szCs w:val="24"/>
          <w:lang w:bidi="he-IL"/>
        </w:rPr>
        <w:t>.</w:t>
      </w:r>
      <w:r w:rsidRPr="009942E9">
        <w:rPr>
          <w:rFonts w:ascii="David" w:eastAsia="David" w:hAnsi="David" w:cs="David"/>
          <w:sz w:val="24"/>
          <w:szCs w:val="24"/>
          <w:rtl/>
          <w:lang w:bidi="he-IL"/>
        </w:rPr>
        <w:t xml:space="preserve"> כופח בין לאורכו בין לרוחבו טהור:</w:t>
      </w:r>
    </w:p>
    <w:p w14:paraId="4DD087FF" w14:textId="0649F1BB" w:rsidR="009942E9" w:rsidRPr="009942E9" w:rsidRDefault="009942E9" w:rsidP="009942E9">
      <w:pPr>
        <w:bidi/>
        <w:rPr>
          <w:rFonts w:ascii="David" w:eastAsia="David" w:hAnsi="David" w:cs="David"/>
          <w:sz w:val="24"/>
          <w:szCs w:val="24"/>
          <w:lang w:bidi="he-IL"/>
        </w:rPr>
      </w:pPr>
      <w:r w:rsidRPr="009942E9">
        <w:rPr>
          <w:rFonts w:ascii="David" w:eastAsia="David" w:hAnsi="David" w:cs="David"/>
          <w:sz w:val="24"/>
          <w:szCs w:val="24"/>
          <w:rtl/>
          <w:lang w:bidi="he-IL"/>
        </w:rPr>
        <w:t>ושואלים: היכי דמי [כיצד הוא בדיוק] כופח, היכי דמי [כיצד היא בדיוק] כירה בתורת כלים? אמר ר' יוסי בר חנינא: כופח הוא כלי קטן הדומה לכירה, ואולם יש בו חור רק כדי מקום שפיתת (הנחת) קדרה אחת. ואילו כירה היא ככופח כפול ויש בה מקום שפיתת שתי קדרות. אמר אביי: ואיתימא [ויש אומרים] שאמר זאת ר' ירמיה: אף אנן נמי תנינא [אנחנו שנינו גם כן] דברים אלה, ששנינו במשנה בדיני טומאה וטהרה: כירה טמאה שנחלקה לאורכה — טהורה, כיון ששוב איננה יכולה להיחשב ככלי אלא כשבר כלי, ושבר כלי אינו מיטמא. ואולם אם נחלקה הכירה לרחבה בין מקום שפיתת הקדירות — הרי היא טמאה, שנעשתה כעין שתי כירות קטנות. ואילו כופח בין שנחלק לאורכו ובין שנחלק לרוחבו — הריהו טהור, ששוב אינו בר שימוש, שכן בכל דרך שהיא אין אפשרות לשפות עליו אף קדירה אחת. והרי למדים אנו מכאן מה ההבדל בין הכופח והכירה.</w:t>
      </w:r>
    </w:p>
    <w:p w14:paraId="30A1D43B" w14:textId="77D9DEB8" w:rsidR="007813B2" w:rsidRPr="009942E9" w:rsidRDefault="00861E34" w:rsidP="004B7A19">
      <w:pPr>
        <w:rPr>
          <w:rFonts w:eastAsia="David" w:cstheme="minorHAnsi"/>
        </w:rPr>
      </w:pPr>
      <w:bookmarkStart w:id="0" w:name="_Hlk533508866"/>
      <w:r w:rsidRPr="009942E9">
        <w:rPr>
          <w:rFonts w:eastAsia="David" w:cstheme="minorHAnsi"/>
        </w:rPr>
        <w:t xml:space="preserve">The Peirush Chai </w:t>
      </w:r>
      <w:r w:rsidR="005A5761" w:rsidRPr="009942E9">
        <w:rPr>
          <w:rFonts w:eastAsia="David" w:cstheme="minorHAnsi"/>
        </w:rPr>
        <w:t xml:space="preserve">on Eiruvin </w:t>
      </w:r>
      <w:r w:rsidRPr="009942E9">
        <w:rPr>
          <w:rFonts w:eastAsia="David" w:cstheme="minorHAnsi"/>
        </w:rPr>
        <w:t xml:space="preserve">gives a picture of a </w:t>
      </w:r>
      <w:r w:rsidR="009942E9" w:rsidRPr="009942E9">
        <w:rPr>
          <w:rFonts w:ascii="David" w:eastAsia="David" w:hAnsi="David" w:cs="David"/>
          <w:sz w:val="24"/>
          <w:szCs w:val="24"/>
          <w:rtl/>
          <w:lang w:bidi="he-IL"/>
        </w:rPr>
        <w:t>כירה</w:t>
      </w:r>
      <w:r w:rsidR="009942E9" w:rsidRPr="009942E9">
        <w:rPr>
          <w:rFonts w:eastAsia="David" w:cstheme="minorHAnsi"/>
        </w:rPr>
        <w:t xml:space="preserve"> </w:t>
      </w:r>
      <w:r w:rsidRPr="009942E9">
        <w:rPr>
          <w:rFonts w:eastAsia="David" w:cstheme="minorHAnsi"/>
        </w:rPr>
        <w:t xml:space="preserve">and a </w:t>
      </w:r>
      <w:r w:rsidR="009942E9" w:rsidRPr="009942E9">
        <w:rPr>
          <w:rFonts w:ascii="David" w:eastAsia="David" w:hAnsi="David" w:cs="David"/>
          <w:sz w:val="24"/>
          <w:szCs w:val="24"/>
          <w:rtl/>
          <w:lang w:bidi="he-IL"/>
        </w:rPr>
        <w:t>כופח</w:t>
      </w:r>
    </w:p>
    <w:bookmarkEnd w:id="0"/>
    <w:p w14:paraId="49BBCD93" w14:textId="7284AF82" w:rsidR="00CE768E" w:rsidRDefault="00CE768E" w:rsidP="004B7A19">
      <w:pPr>
        <w:rPr>
          <w:rFonts w:ascii="David" w:eastAsia="David" w:hAnsi="David" w:cs="David"/>
          <w:sz w:val="32"/>
          <w:szCs w:val="32"/>
        </w:rPr>
      </w:pPr>
      <w:r>
        <w:rPr>
          <w:rFonts w:ascii="David" w:eastAsia="David" w:hAnsi="David" w:cs="David"/>
          <w:noProof/>
          <w:sz w:val="32"/>
          <w:szCs w:val="32"/>
        </w:rPr>
        <w:drawing>
          <wp:inline distT="0" distB="0" distL="0" distR="0" wp14:anchorId="3047BA15" wp14:editId="2A76045D">
            <wp:extent cx="200025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r>
        <w:rPr>
          <w:rFonts w:ascii="David" w:eastAsia="David" w:hAnsi="David" w:cs="David"/>
          <w:sz w:val="32"/>
          <w:szCs w:val="32"/>
        </w:rPr>
        <w:t xml:space="preserve">       </w:t>
      </w:r>
      <w:r>
        <w:rPr>
          <w:rFonts w:ascii="David" w:eastAsia="David" w:hAnsi="David" w:cs="David"/>
          <w:noProof/>
          <w:sz w:val="32"/>
          <w:szCs w:val="32"/>
        </w:rPr>
        <w:drawing>
          <wp:inline distT="0" distB="0" distL="0" distR="0" wp14:anchorId="34E0EE0A" wp14:editId="2C21337D">
            <wp:extent cx="1809750" cy="15986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747" cy="1600377"/>
                    </a:xfrm>
                    <a:prstGeom prst="rect">
                      <a:avLst/>
                    </a:prstGeom>
                    <a:noFill/>
                    <a:ln>
                      <a:noFill/>
                    </a:ln>
                  </pic:spPr>
                </pic:pic>
              </a:graphicData>
            </a:graphic>
          </wp:inline>
        </w:drawing>
      </w:r>
    </w:p>
    <w:p w14:paraId="7EC9707C" w14:textId="77777777" w:rsidR="007813B2" w:rsidRDefault="007813B2" w:rsidP="004B7A19">
      <w:pPr>
        <w:rPr>
          <w:rFonts w:ascii="David" w:eastAsia="David" w:hAnsi="David" w:cs="David"/>
          <w:sz w:val="32"/>
          <w:szCs w:val="32"/>
        </w:rPr>
      </w:pPr>
    </w:p>
    <w:p w14:paraId="4F4C5EFC" w14:textId="45A1D8A0" w:rsidR="00963331" w:rsidRPr="009942E9" w:rsidRDefault="004B7A19" w:rsidP="004B7A19">
      <w:pPr>
        <w:rPr>
          <w:rFonts w:eastAsia="David" w:cstheme="minorHAnsi"/>
        </w:rPr>
      </w:pPr>
      <w:r w:rsidRPr="009942E9">
        <w:rPr>
          <w:rFonts w:eastAsia="David" w:cstheme="minorHAnsi"/>
        </w:rPr>
        <w:t xml:space="preserve">Rashi explains the circumstances where a </w:t>
      </w:r>
      <w:r w:rsidR="001E4BBC" w:rsidRPr="009942E9">
        <w:rPr>
          <w:rFonts w:ascii="David" w:eastAsia="David" w:hAnsi="David" w:cs="David"/>
          <w:sz w:val="24"/>
          <w:szCs w:val="24"/>
          <w:rtl/>
          <w:lang w:bidi="he-IL"/>
        </w:rPr>
        <w:t>כירה</w:t>
      </w:r>
      <w:r w:rsidRPr="009942E9">
        <w:rPr>
          <w:rFonts w:eastAsia="David" w:cstheme="minorHAnsi"/>
        </w:rPr>
        <w:t xml:space="preserve"> is divided lengthwise</w:t>
      </w:r>
    </w:p>
    <w:p w14:paraId="646F3FC4" w14:textId="5DCB5190" w:rsidR="00876311" w:rsidRPr="009942E9" w:rsidRDefault="19C65D9D" w:rsidP="009942E9">
      <w:pPr>
        <w:bidi/>
        <w:jc w:val="both"/>
        <w:rPr>
          <w:rFonts w:ascii="David" w:hAnsi="David" w:cs="David"/>
          <w:sz w:val="24"/>
          <w:szCs w:val="24"/>
        </w:rPr>
      </w:pPr>
      <w:bookmarkStart w:id="1" w:name="_Hlk533510879"/>
      <w:r w:rsidRPr="009942E9">
        <w:rPr>
          <w:rFonts w:ascii="David" w:eastAsia="Arial" w:hAnsi="David" w:cs="David"/>
          <w:b/>
          <w:bCs/>
          <w:sz w:val="24"/>
          <w:szCs w:val="24"/>
          <w:rtl/>
        </w:rPr>
        <w:t>שנחלקה לאורכה</w:t>
      </w:r>
      <w:r w:rsidRPr="009942E9">
        <w:rPr>
          <w:rFonts w:ascii="David" w:eastAsia="Arial" w:hAnsi="David" w:cs="David"/>
          <w:sz w:val="24"/>
          <w:szCs w:val="24"/>
          <w:rtl/>
        </w:rPr>
        <w:t>. הרי בטלו שתי שפיתותיה</w:t>
      </w:r>
      <w:r w:rsidR="007813B2" w:rsidRPr="009942E9">
        <w:rPr>
          <w:rFonts w:ascii="David" w:eastAsia="Arial" w:hAnsi="David" w:cs="David"/>
          <w:sz w:val="24"/>
          <w:szCs w:val="24"/>
        </w:rPr>
        <w:t>,</w:t>
      </w:r>
      <w:r w:rsidRPr="009942E9">
        <w:rPr>
          <w:rFonts w:ascii="David" w:eastAsia="Arial" w:hAnsi="David" w:cs="David"/>
          <w:sz w:val="24"/>
          <w:szCs w:val="24"/>
          <w:rtl/>
        </w:rPr>
        <w:t xml:space="preserve"> שנחלקת רחבה לשתים</w:t>
      </w:r>
      <w:r w:rsidR="007813B2" w:rsidRPr="009942E9">
        <w:rPr>
          <w:rFonts w:ascii="David" w:eastAsia="Arial" w:hAnsi="David" w:cs="David"/>
          <w:sz w:val="24"/>
          <w:szCs w:val="24"/>
        </w:rPr>
        <w:t>,</w:t>
      </w:r>
      <w:r w:rsidRPr="009942E9">
        <w:rPr>
          <w:rFonts w:ascii="David" w:eastAsia="Arial" w:hAnsi="David" w:cs="David"/>
          <w:sz w:val="24"/>
          <w:szCs w:val="24"/>
          <w:rtl/>
        </w:rPr>
        <w:t xml:space="preserve"> הלכך טהרה מטומאתה שהרי ניתצה</w:t>
      </w:r>
      <w:r w:rsidRPr="009942E9">
        <w:rPr>
          <w:rFonts w:ascii="David" w:eastAsia="Arial" w:hAnsi="David" w:cs="David"/>
          <w:sz w:val="24"/>
          <w:szCs w:val="24"/>
        </w:rPr>
        <w:t>:</w:t>
      </w:r>
      <w:bookmarkEnd w:id="1"/>
    </w:p>
    <w:p w14:paraId="3FBE953E" w14:textId="1B7C9182" w:rsidR="00876311" w:rsidRDefault="007E7AD2">
      <w:r>
        <w:t xml:space="preserve">Both of its </w:t>
      </w:r>
      <w:r w:rsidR="000670B9">
        <w:t>openings</w:t>
      </w:r>
      <w:r>
        <w:t xml:space="preserve"> (places on which you put a pot) are </w:t>
      </w:r>
      <w:r w:rsidR="007813B2">
        <w:t>not usable</w:t>
      </w:r>
      <w:r>
        <w:t>, because its width is divided into two, therefore it becomes Tahor from its Tumah because it is broken</w:t>
      </w:r>
      <w:r w:rsidR="000E7BB4">
        <w:t>.</w:t>
      </w:r>
    </w:p>
    <w:p w14:paraId="7E1962AF" w14:textId="237615CE" w:rsidR="00861E34" w:rsidRPr="009942E9" w:rsidRDefault="00861E34" w:rsidP="00861E34">
      <w:pPr>
        <w:rPr>
          <w:rFonts w:eastAsia="David" w:cstheme="minorHAnsi"/>
        </w:rPr>
      </w:pPr>
      <w:r w:rsidRPr="009942E9">
        <w:rPr>
          <w:rFonts w:eastAsia="David" w:cstheme="minorHAnsi"/>
        </w:rPr>
        <w:t xml:space="preserve">Rashi then explains the circumstances where a </w:t>
      </w:r>
      <w:r w:rsidR="001E4BBC" w:rsidRPr="009942E9">
        <w:rPr>
          <w:rFonts w:ascii="David" w:eastAsia="David" w:hAnsi="David" w:cs="David"/>
          <w:sz w:val="24"/>
          <w:szCs w:val="24"/>
          <w:rtl/>
          <w:lang w:bidi="he-IL"/>
        </w:rPr>
        <w:t>כירה</w:t>
      </w:r>
      <w:r w:rsidRPr="009942E9">
        <w:rPr>
          <w:rFonts w:eastAsia="David" w:cstheme="minorHAnsi"/>
        </w:rPr>
        <w:t xml:space="preserve"> is divided widthwise</w:t>
      </w:r>
    </w:p>
    <w:p w14:paraId="194DFFF2" w14:textId="1498450E" w:rsidR="00861E34" w:rsidRPr="009942E9" w:rsidRDefault="00861E34" w:rsidP="00861E34">
      <w:pPr>
        <w:bidi/>
        <w:rPr>
          <w:rFonts w:ascii="David" w:hAnsi="David" w:cs="David"/>
          <w:sz w:val="24"/>
          <w:szCs w:val="24"/>
          <w:lang w:bidi="he-IL"/>
        </w:rPr>
      </w:pPr>
      <w:bookmarkStart w:id="2" w:name="_Hlk533510897"/>
      <w:r w:rsidRPr="009942E9">
        <w:rPr>
          <w:rFonts w:ascii="David" w:hAnsi="David" w:cs="David"/>
          <w:sz w:val="24"/>
          <w:szCs w:val="24"/>
          <w:rtl/>
          <w:lang w:bidi="he-IL"/>
        </w:rPr>
        <w:t xml:space="preserve">  נחלקה לרחבה:</w:t>
      </w:r>
      <w:r w:rsidRPr="009942E9">
        <w:rPr>
          <w:rFonts w:ascii="David" w:hAnsi="David" w:cs="David"/>
          <w:sz w:val="24"/>
          <w:szCs w:val="24"/>
          <w:lang w:bidi="he-IL"/>
        </w:rPr>
        <w:t xml:space="preserve"> </w:t>
      </w:r>
      <w:r w:rsidRPr="009942E9">
        <w:rPr>
          <w:rFonts w:ascii="David" w:hAnsi="David" w:cs="David"/>
          <w:sz w:val="24"/>
          <w:szCs w:val="24"/>
          <w:rtl/>
          <w:lang w:bidi="he-IL"/>
        </w:rPr>
        <w:t>נמצאו שתי השפיתות קימות זו לבדה וזו לבדה</w:t>
      </w:r>
    </w:p>
    <w:bookmarkEnd w:id="2"/>
    <w:p w14:paraId="309DE9C7" w14:textId="666115EC" w:rsidR="00861E34" w:rsidRPr="009942E9" w:rsidRDefault="00861E34" w:rsidP="00861E34">
      <w:r w:rsidRPr="009942E9">
        <w:t xml:space="preserve">It turns out that both of its </w:t>
      </w:r>
      <w:r w:rsidR="000670B9" w:rsidRPr="009942E9">
        <w:t>openings</w:t>
      </w:r>
      <w:r w:rsidRPr="009942E9">
        <w:t xml:space="preserve"> are intact, each one </w:t>
      </w:r>
      <w:r w:rsidR="000670B9" w:rsidRPr="009942E9">
        <w:t>exists by itself</w:t>
      </w:r>
    </w:p>
    <w:p w14:paraId="10C0960F" w14:textId="2F128FA6" w:rsidR="00F161E9" w:rsidRPr="009942E9" w:rsidRDefault="00F161E9" w:rsidP="00861E34">
      <w:bookmarkStart w:id="3" w:name="_Hlk533510006"/>
      <w:r w:rsidRPr="009942E9">
        <w:t xml:space="preserve">The Perish Chai gives us a picture of the </w:t>
      </w:r>
      <w:r w:rsidR="001E4BBC" w:rsidRPr="009942E9">
        <w:rPr>
          <w:rFonts w:ascii="David" w:eastAsia="David" w:hAnsi="David" w:cs="David"/>
          <w:sz w:val="24"/>
          <w:szCs w:val="24"/>
          <w:rtl/>
          <w:lang w:bidi="he-IL"/>
        </w:rPr>
        <w:t>כירה</w:t>
      </w:r>
      <w:r w:rsidRPr="009942E9">
        <w:t xml:space="preserve"> which is split </w:t>
      </w:r>
      <w:r w:rsidR="00411CDF" w:rsidRPr="009942E9">
        <w:t>width</w:t>
      </w:r>
      <w:r w:rsidRPr="009942E9">
        <w:t>wise</w:t>
      </w:r>
      <w:r w:rsidR="000670B9" w:rsidRPr="009942E9">
        <w:t xml:space="preserve">. In this case the </w:t>
      </w:r>
      <w:r w:rsidR="001E4BBC" w:rsidRPr="009942E9">
        <w:rPr>
          <w:rFonts w:ascii="David" w:eastAsia="David" w:hAnsi="David" w:cs="David"/>
          <w:sz w:val="24"/>
          <w:szCs w:val="24"/>
          <w:rtl/>
          <w:lang w:bidi="he-IL"/>
        </w:rPr>
        <w:t>כירה</w:t>
      </w:r>
      <w:r w:rsidR="000670B9" w:rsidRPr="009942E9">
        <w:t xml:space="preserve"> is still useable and </w:t>
      </w:r>
      <w:r w:rsidR="00EA5C63" w:rsidRPr="009942E9">
        <w:t xml:space="preserve">is considered a Keli which can contract Tumah. </w:t>
      </w:r>
    </w:p>
    <w:bookmarkEnd w:id="3"/>
    <w:p w14:paraId="3F44061F" w14:textId="2FAB9A98" w:rsidR="00F161E9" w:rsidRPr="00861E34" w:rsidRDefault="00F161E9" w:rsidP="00861E34">
      <w:pPr>
        <w:rPr>
          <w:sz w:val="28"/>
          <w:szCs w:val="28"/>
        </w:rPr>
      </w:pPr>
      <w:r>
        <w:rPr>
          <w:rFonts w:ascii="Segoe UI" w:hAnsi="Segoe UI" w:cs="Segoe UI"/>
          <w:noProof/>
          <w:color w:val="212121"/>
          <w:sz w:val="23"/>
          <w:szCs w:val="23"/>
          <w:shd w:val="clear" w:color="auto" w:fill="FFFFFF"/>
        </w:rPr>
        <w:drawing>
          <wp:inline distT="0" distB="0" distL="0" distR="0" wp14:anchorId="6556900F" wp14:editId="0CC475CE">
            <wp:extent cx="3733800" cy="32962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2484" cy="3303958"/>
                    </a:xfrm>
                    <a:prstGeom prst="rect">
                      <a:avLst/>
                    </a:prstGeom>
                    <a:noFill/>
                    <a:ln>
                      <a:noFill/>
                    </a:ln>
                  </pic:spPr>
                </pic:pic>
              </a:graphicData>
            </a:graphic>
          </wp:inline>
        </w:drawing>
      </w:r>
    </w:p>
    <w:p w14:paraId="2DFD4CB8" w14:textId="5C553AAE" w:rsidR="00876311" w:rsidRDefault="00CE768E">
      <w:pPr>
        <w:rPr>
          <w:rFonts w:cstheme="minorHAnsi"/>
        </w:rPr>
      </w:pPr>
      <w:r>
        <w:rPr>
          <w:rFonts w:cstheme="minorHAnsi"/>
        </w:rPr>
        <w:t>The Sefer Tavnis Kailim gives us a picture of each</w:t>
      </w:r>
      <w:r w:rsidR="009326B1">
        <w:rPr>
          <w:rFonts w:cstheme="minorHAnsi"/>
        </w:rPr>
        <w:t xml:space="preserve"> circumstance</w:t>
      </w:r>
    </w:p>
    <w:p w14:paraId="4CB91FA5" w14:textId="625EDDC7" w:rsidR="009326B1" w:rsidRDefault="009326B1">
      <w:r>
        <w:rPr>
          <w:noProof/>
        </w:rPr>
        <w:lastRenderedPageBreak/>
        <w:drawing>
          <wp:inline distT="0" distB="0" distL="0" distR="0" wp14:anchorId="18C9DBFB" wp14:editId="2688ACA1">
            <wp:extent cx="6209731"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21" cy="2000440"/>
                    </a:xfrm>
                    <a:prstGeom prst="rect">
                      <a:avLst/>
                    </a:prstGeom>
                    <a:noFill/>
                    <a:ln>
                      <a:noFill/>
                    </a:ln>
                  </pic:spPr>
                </pic:pic>
              </a:graphicData>
            </a:graphic>
          </wp:inline>
        </w:drawing>
      </w:r>
    </w:p>
    <w:p w14:paraId="783A8576" w14:textId="77777777" w:rsidR="009326B1" w:rsidRDefault="009326B1"/>
    <w:p w14:paraId="1AAE6652" w14:textId="06FA098F" w:rsidR="00411CDF" w:rsidRDefault="00EA5C63">
      <w:r>
        <w:t xml:space="preserve">The lengthwise split goes through the two openings and renders the </w:t>
      </w:r>
      <w:r w:rsidR="001E4BBC" w:rsidRPr="009942E9">
        <w:rPr>
          <w:rFonts w:ascii="David" w:eastAsia="David" w:hAnsi="David" w:cs="David"/>
          <w:sz w:val="24"/>
          <w:szCs w:val="24"/>
          <w:rtl/>
          <w:lang w:bidi="he-IL"/>
        </w:rPr>
        <w:t>כירה</w:t>
      </w:r>
      <w:r>
        <w:t xml:space="preserve"> unusable. It is therefore not a Keli and incapable of being Tamei.</w:t>
      </w:r>
    </w:p>
    <w:p w14:paraId="6D51815D" w14:textId="3031DEEA" w:rsidR="00411CDF" w:rsidRDefault="00EA5C63">
      <w:r>
        <w:t>In the classic Vilna Shas, the Rashi contains words alone with no illustrative diagrams.</w:t>
      </w:r>
    </w:p>
    <w:p w14:paraId="29EBE7B4" w14:textId="044182D7" w:rsidR="00EA5C63" w:rsidRDefault="00EA5C63">
      <w:r>
        <w:rPr>
          <w:rFonts w:ascii="David" w:eastAsia="David" w:hAnsi="David" w:cs="David"/>
          <w:noProof/>
          <w:sz w:val="39"/>
          <w:szCs w:val="39"/>
        </w:rPr>
        <w:drawing>
          <wp:inline distT="0" distB="0" distL="0" distR="0" wp14:anchorId="4E944FC0" wp14:editId="2AC466BF">
            <wp:extent cx="3343275"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2476500"/>
                    </a:xfrm>
                    <a:prstGeom prst="rect">
                      <a:avLst/>
                    </a:prstGeom>
                    <a:noFill/>
                    <a:ln>
                      <a:noFill/>
                    </a:ln>
                  </pic:spPr>
                </pic:pic>
              </a:graphicData>
            </a:graphic>
          </wp:inline>
        </w:drawing>
      </w:r>
    </w:p>
    <w:p w14:paraId="60451EB0" w14:textId="41040D74" w:rsidR="00EA5C63" w:rsidRDefault="00EA5C63">
      <w:r>
        <w:t xml:space="preserve">However, it is entirely possible that Rashi himself included a diagram ( or possibly two) to illustrate the cases of the </w:t>
      </w:r>
      <w:r w:rsidR="001E4BBC" w:rsidRPr="009942E9">
        <w:rPr>
          <w:rFonts w:ascii="David" w:eastAsia="David" w:hAnsi="David" w:cs="David"/>
          <w:sz w:val="24"/>
          <w:szCs w:val="24"/>
          <w:rtl/>
          <w:lang w:bidi="he-IL"/>
        </w:rPr>
        <w:t>כירה</w:t>
      </w:r>
      <w:r>
        <w:t xml:space="preserve"> which was split into two. </w:t>
      </w:r>
    </w:p>
    <w:p w14:paraId="089C08F2" w14:textId="45B655A0" w:rsidR="00F008D6" w:rsidRDefault="009942E9">
      <w:r>
        <w:t>Note</w:t>
      </w:r>
      <w:r w:rsidR="00F008D6">
        <w:t xml:space="preserve">: We have no </w:t>
      </w:r>
      <w:r w:rsidR="001E4BBC" w:rsidRPr="001E4BBC">
        <w:rPr>
          <w:rFonts w:cs="Arial"/>
          <w:rtl/>
          <w:lang w:bidi="he-IL"/>
        </w:rPr>
        <w:t>כתב יד</w:t>
      </w:r>
      <w:r w:rsidR="001E4BBC" w:rsidRPr="001E4BBC">
        <w:t xml:space="preserve"> </w:t>
      </w:r>
      <w:r w:rsidR="00F008D6">
        <w:t>of Rashi’s commentary to the Talmud, only manuscripts copied over later on. It is clear from many places that Rashi’s commentary did contain diagrams, and many of the later manuscripts attest to that.</w:t>
      </w:r>
    </w:p>
    <w:p w14:paraId="7EFFA4ED" w14:textId="1F9CB740" w:rsidR="004869C4" w:rsidRDefault="004869C4">
      <w:r>
        <w:t>First let us look at the earliest printings of Masechet Shabbat to see if they included a diagram, or left space for one. These early printings were based on manuscripts available at that time.</w:t>
      </w:r>
    </w:p>
    <w:p w14:paraId="734BB84F" w14:textId="77777777" w:rsidR="004869C4" w:rsidRDefault="004869C4"/>
    <w:p w14:paraId="549E6FC5" w14:textId="77777777" w:rsidR="004869C4" w:rsidRDefault="004869C4"/>
    <w:p w14:paraId="5A2ED828" w14:textId="6EBA08FE" w:rsidR="004869C4" w:rsidRDefault="004869C4">
      <w:r>
        <w:lastRenderedPageBreak/>
        <w:t xml:space="preserve">Here is Soncino Pesaro 1489 </w:t>
      </w:r>
    </w:p>
    <w:p w14:paraId="71F7EC56" w14:textId="26DD0E18" w:rsidR="004869C4" w:rsidRDefault="004869C4">
      <w:r>
        <w:rPr>
          <w:noProof/>
        </w:rPr>
        <w:drawing>
          <wp:inline distT="0" distB="0" distL="0" distR="0" wp14:anchorId="60729452" wp14:editId="7DE2B611">
            <wp:extent cx="2575435" cy="2095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10" cy="2100239"/>
                    </a:xfrm>
                    <a:prstGeom prst="rect">
                      <a:avLst/>
                    </a:prstGeom>
                    <a:noFill/>
                    <a:ln>
                      <a:noFill/>
                    </a:ln>
                  </pic:spPr>
                </pic:pic>
              </a:graphicData>
            </a:graphic>
          </wp:inline>
        </w:drawing>
      </w:r>
    </w:p>
    <w:p w14:paraId="0972669E" w14:textId="1B82E5B3" w:rsidR="004869C4" w:rsidRDefault="004869C4">
      <w:r>
        <w:t xml:space="preserve">Bomberg 1520 also does not leave </w:t>
      </w:r>
      <w:r w:rsidR="00EA0931">
        <w:t xml:space="preserve">as much </w:t>
      </w:r>
      <w:r>
        <w:t xml:space="preserve">room </w:t>
      </w:r>
      <w:r w:rsidR="00EA0931">
        <w:t xml:space="preserve">as usual </w:t>
      </w:r>
      <w:r>
        <w:t xml:space="preserve">for a </w:t>
      </w:r>
      <w:r w:rsidR="00EA0931">
        <w:t xml:space="preserve">“missing” </w:t>
      </w:r>
      <w:r>
        <w:t>diagram</w:t>
      </w:r>
    </w:p>
    <w:p w14:paraId="3DF107E8" w14:textId="62C91E2E" w:rsidR="00EA0931" w:rsidRDefault="00EA0931">
      <w:r>
        <w:rPr>
          <w:noProof/>
        </w:rPr>
        <w:drawing>
          <wp:inline distT="0" distB="0" distL="0" distR="0" wp14:anchorId="5897AED0" wp14:editId="1588C14E">
            <wp:extent cx="2531065" cy="18128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9359" cy="1818809"/>
                    </a:xfrm>
                    <a:prstGeom prst="rect">
                      <a:avLst/>
                    </a:prstGeom>
                    <a:noFill/>
                    <a:ln>
                      <a:noFill/>
                    </a:ln>
                  </pic:spPr>
                </pic:pic>
              </a:graphicData>
            </a:graphic>
          </wp:inline>
        </w:drawing>
      </w:r>
    </w:p>
    <w:p w14:paraId="7D85CADE" w14:textId="6F034D0C" w:rsidR="00EA5C63" w:rsidRDefault="00EA0931">
      <w:r>
        <w:t>However, an</w:t>
      </w:r>
      <w:r w:rsidR="00EA5C63">
        <w:t xml:space="preserve"> early Rashi manuscript (13</w:t>
      </w:r>
      <w:r w:rsidR="00EA5C63" w:rsidRPr="00EA5C63">
        <w:rPr>
          <w:vertAlign w:val="superscript"/>
        </w:rPr>
        <w:t>th</w:t>
      </w:r>
      <w:r w:rsidR="00EA5C63">
        <w:t>-14</w:t>
      </w:r>
      <w:r w:rsidR="00EA5C63" w:rsidRPr="00EA5C63">
        <w:rPr>
          <w:vertAlign w:val="superscript"/>
        </w:rPr>
        <w:t>th</w:t>
      </w:r>
      <w:r w:rsidR="00EA5C63">
        <w:t xml:space="preserve"> century) </w:t>
      </w:r>
      <w:r>
        <w:t>does</w:t>
      </w:r>
      <w:r w:rsidR="00EA5C63">
        <w:t xml:space="preserve"> </w:t>
      </w:r>
      <w:r>
        <w:t xml:space="preserve">have </w:t>
      </w:r>
      <w:r w:rsidR="00EA5C63">
        <w:t xml:space="preserve">a picture of the </w:t>
      </w:r>
      <w:r w:rsidRPr="009942E9">
        <w:rPr>
          <w:rFonts w:ascii="David" w:eastAsia="David" w:hAnsi="David" w:cs="David"/>
          <w:sz w:val="24"/>
          <w:szCs w:val="24"/>
          <w:rtl/>
          <w:lang w:bidi="he-IL"/>
        </w:rPr>
        <w:t>כירה</w:t>
      </w:r>
      <w:r w:rsidR="00EA5C63">
        <w:t xml:space="preserve"> split lengthwise</w:t>
      </w:r>
    </w:p>
    <w:p w14:paraId="09EF7FAF" w14:textId="4E2AA2CC" w:rsidR="006C1B1A" w:rsidRPr="00EA0931" w:rsidRDefault="007E7AD2" w:rsidP="00EA0931">
      <w:bookmarkStart w:id="4" w:name="_Hlk533519775"/>
      <w:r w:rsidRPr="007E7AD2">
        <w:t xml:space="preserve">The National Library of France, Paris, France Ms. </w:t>
      </w:r>
      <w:r>
        <w:t>H</w:t>
      </w:r>
      <w:r w:rsidRPr="007E7AD2">
        <w:t xml:space="preserve">ebr. 324 </w:t>
      </w:r>
      <w:r w:rsidR="00F008D6">
        <w:t>(</w:t>
      </w:r>
      <w:r w:rsidR="004B7A19">
        <w:t>Commentary of Rashi on Masechet Shabbat</w:t>
      </w:r>
      <w:r w:rsidR="00F008D6">
        <w:t>)</w:t>
      </w:r>
      <w:r w:rsidRPr="007E7AD2">
        <w:rPr>
          <w:rFonts w:ascii="Arial" w:eastAsia="Times New Roman" w:hAnsi="Arial" w:cs="Arial"/>
          <w:color w:val="423736"/>
          <w:sz w:val="19"/>
          <w:szCs w:val="19"/>
          <w:lang w:bidi="he-IL"/>
        </w:rPr>
        <w:br/>
      </w:r>
      <w:hyperlink r:id="rId12" w:history="1">
        <w:r w:rsidR="00963331" w:rsidRPr="007E7AD2">
          <w:rPr>
            <w:rStyle w:val="Hyperlink"/>
            <w:rFonts w:ascii="Arial" w:eastAsia="Times New Roman" w:hAnsi="Arial" w:cs="Arial"/>
            <w:sz w:val="19"/>
            <w:szCs w:val="19"/>
            <w:lang w:bidi="he-IL"/>
          </w:rPr>
          <w:t>http://aleph.nli.org.il:80/F/?func=direct&amp;doc_number=000129229&amp;local_base=NNL01</w:t>
        </w:r>
      </w:hyperlink>
    </w:p>
    <w:bookmarkEnd w:id="4"/>
    <w:p w14:paraId="42B38109" w14:textId="16F9A8F5" w:rsidR="007E7AD2" w:rsidRPr="00EA0931" w:rsidRDefault="001D17CE" w:rsidP="00EA0931">
      <w:pPr>
        <w:spacing w:after="0" w:line="240" w:lineRule="auto"/>
        <w:rPr>
          <w:rFonts w:eastAsia="Arial" w:cstheme="minorHAnsi"/>
        </w:rPr>
      </w:pPr>
      <w:r w:rsidRPr="001D17CE">
        <w:rPr>
          <w:rFonts w:eastAsia="Times New Roman" w:cstheme="minorHAnsi"/>
          <w:color w:val="423736"/>
          <w:lang w:bidi="he-IL"/>
        </w:rPr>
        <w:t>T</w:t>
      </w:r>
      <w:r w:rsidR="006C1B1A" w:rsidRPr="001D17CE">
        <w:rPr>
          <w:rFonts w:eastAsia="Times New Roman" w:cstheme="minorHAnsi"/>
          <w:color w:val="423736"/>
          <w:lang w:bidi="he-IL"/>
        </w:rPr>
        <w:t xml:space="preserve">he words incorporated into the picture are </w:t>
      </w:r>
      <w:r w:rsidR="006C1B1A" w:rsidRPr="001D17CE">
        <w:rPr>
          <w:rFonts w:eastAsia="David" w:cstheme="minorHAnsi"/>
          <w:rtl/>
        </w:rPr>
        <w:t>כירה</w:t>
      </w:r>
      <w:r w:rsidR="006C1B1A" w:rsidRPr="001D17CE">
        <w:rPr>
          <w:rFonts w:eastAsia="David" w:cstheme="minorHAnsi"/>
        </w:rPr>
        <w:t xml:space="preserve"> on top and </w:t>
      </w:r>
      <w:r w:rsidR="006C1B1A" w:rsidRPr="001D17CE">
        <w:rPr>
          <w:rFonts w:eastAsia="Arial" w:cstheme="minorHAnsi"/>
          <w:rtl/>
        </w:rPr>
        <w:t xml:space="preserve">שנחלקה </w:t>
      </w:r>
      <w:bookmarkStart w:id="5" w:name="_Hlk533510645"/>
      <w:r w:rsidR="006C1B1A" w:rsidRPr="001D17CE">
        <w:rPr>
          <w:rFonts w:eastAsia="Arial" w:cstheme="minorHAnsi"/>
          <w:rtl/>
        </w:rPr>
        <w:t>לאורכה</w:t>
      </w:r>
      <w:bookmarkEnd w:id="5"/>
      <w:r w:rsidR="006C1B1A" w:rsidRPr="001D17CE">
        <w:rPr>
          <w:rFonts w:eastAsia="Arial" w:cstheme="minorHAnsi"/>
        </w:rPr>
        <w:t xml:space="preserve"> on either </w:t>
      </w:r>
      <w:bookmarkStart w:id="6" w:name="_Hlk533519863"/>
      <w:r w:rsidR="006C1B1A" w:rsidRPr="001D17CE">
        <w:rPr>
          <w:rFonts w:eastAsia="Arial" w:cstheme="minorHAnsi"/>
        </w:rPr>
        <w:t xml:space="preserve">side of the dividing </w:t>
      </w:r>
      <w:bookmarkEnd w:id="6"/>
      <w:r w:rsidR="006C1B1A" w:rsidRPr="001D17CE">
        <w:rPr>
          <w:rFonts w:eastAsia="Arial" w:cstheme="minorHAnsi"/>
        </w:rPr>
        <w:t>line</w:t>
      </w:r>
    </w:p>
    <w:p w14:paraId="672A6659" w14:textId="3A319F0E" w:rsidR="005F5189" w:rsidRDefault="005F5189">
      <w:r>
        <w:rPr>
          <w:noProof/>
          <w:lang w:bidi="he-IL"/>
        </w:rPr>
        <w:drawing>
          <wp:inline distT="0" distB="0" distL="0" distR="0" wp14:anchorId="74F793F5" wp14:editId="56ACD340">
            <wp:extent cx="4725475" cy="2223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7745" t="37671" r="23447" b="13014"/>
                    <a:stretch>
                      <a:fillRect/>
                    </a:stretch>
                  </pic:blipFill>
                  <pic:spPr bwMode="auto">
                    <a:xfrm>
                      <a:off x="0" y="0"/>
                      <a:ext cx="4772827" cy="2246035"/>
                    </a:xfrm>
                    <a:prstGeom prst="rect">
                      <a:avLst/>
                    </a:prstGeom>
                    <a:noFill/>
                    <a:ln w="9525">
                      <a:noFill/>
                      <a:miter lim="800000"/>
                      <a:headEnd/>
                      <a:tailEnd/>
                    </a:ln>
                  </pic:spPr>
                </pic:pic>
              </a:graphicData>
            </a:graphic>
          </wp:inline>
        </w:drawing>
      </w:r>
    </w:p>
    <w:p w14:paraId="2A8FA618" w14:textId="52CEF0AB" w:rsidR="00F008D6" w:rsidRPr="001D17CE" w:rsidRDefault="00F008D6" w:rsidP="001D17CE">
      <w:r>
        <w:lastRenderedPageBreak/>
        <w:t xml:space="preserve">The diagram is of the </w:t>
      </w:r>
      <w:r w:rsidR="001E4BBC" w:rsidRPr="001D17CE">
        <w:rPr>
          <w:rFonts w:eastAsia="David" w:cstheme="minorHAnsi"/>
          <w:rtl/>
        </w:rPr>
        <w:t>כירה</w:t>
      </w:r>
      <w:r>
        <w:t xml:space="preserve"> split lengthwis</w:t>
      </w:r>
      <w:r w:rsidR="002E405C">
        <w:t>e. It is incorporated into the body of the text which indicates that it was not added later on. But the text of Rashi does not say “</w:t>
      </w:r>
      <w:r w:rsidR="001E4BBC" w:rsidRPr="001E4BBC">
        <w:rPr>
          <w:rFonts w:cs="Arial"/>
          <w:rtl/>
          <w:lang w:bidi="he-IL"/>
        </w:rPr>
        <w:t>כזה</w:t>
      </w:r>
      <w:r w:rsidR="002E405C">
        <w:t xml:space="preserve">”, the normal way of indicating there is a diagram. </w:t>
      </w:r>
    </w:p>
    <w:p w14:paraId="214F2667" w14:textId="3B1F327B" w:rsidR="00BF7754" w:rsidRPr="001E4BBC" w:rsidRDefault="001E4BBC" w:rsidP="00BF7754">
      <w:pPr>
        <w:shd w:val="clear" w:color="auto" w:fill="FFFFFF"/>
        <w:textAlignment w:val="baseline"/>
        <w:rPr>
          <w:rFonts w:cstheme="minorHAnsi"/>
          <w:color w:val="212121"/>
        </w:rPr>
      </w:pPr>
      <w:bookmarkStart w:id="7" w:name="_Hlk533519533"/>
      <w:r w:rsidRPr="001E4BBC">
        <w:rPr>
          <w:rFonts w:cstheme="minorHAnsi"/>
          <w:color w:val="212121"/>
        </w:rPr>
        <w:t xml:space="preserve">Here is a manuscript known as </w:t>
      </w:r>
      <w:r w:rsidR="001D17CE" w:rsidRPr="001E4BBC">
        <w:rPr>
          <w:rFonts w:cstheme="minorHAnsi"/>
          <w:color w:val="212121"/>
        </w:rPr>
        <w:t xml:space="preserve">JTS </w:t>
      </w:r>
      <w:r w:rsidR="00BF7754" w:rsidRPr="001E4BBC">
        <w:rPr>
          <w:rFonts w:cstheme="minorHAnsi"/>
          <w:color w:val="212121"/>
        </w:rPr>
        <w:t>Rab. 718</w:t>
      </w:r>
    </w:p>
    <w:p w14:paraId="2C4EE5E9" w14:textId="77777777" w:rsidR="001D17CE" w:rsidRDefault="00AB23EB" w:rsidP="001D17CE">
      <w:pPr>
        <w:shd w:val="clear" w:color="auto" w:fill="FFFFFF"/>
        <w:textAlignment w:val="baseline"/>
        <w:rPr>
          <w:rFonts w:ascii="Arial" w:hAnsi="Arial" w:cs="Arial"/>
          <w:color w:val="423736"/>
          <w:sz w:val="19"/>
          <w:szCs w:val="19"/>
          <w:shd w:val="clear" w:color="auto" w:fill="FFFFFF"/>
        </w:rPr>
      </w:pPr>
      <w:hyperlink r:id="rId14" w:history="1">
        <w:r w:rsidR="003F5F17" w:rsidRPr="004736B6">
          <w:rPr>
            <w:rStyle w:val="Hyperlink"/>
            <w:rFonts w:ascii="Arial" w:hAnsi="Arial" w:cs="Arial"/>
            <w:sz w:val="19"/>
            <w:szCs w:val="19"/>
            <w:shd w:val="clear" w:color="auto" w:fill="FFFFFF"/>
          </w:rPr>
          <w:t>http://aleph.nli.org.il:80/F/?func=direct&amp;doc_number=000054530&amp;local_base=NNL01</w:t>
        </w:r>
      </w:hyperlink>
      <w:bookmarkEnd w:id="7"/>
    </w:p>
    <w:p w14:paraId="527E7EA0" w14:textId="0605EC82" w:rsidR="00CB2AA0" w:rsidRPr="00EA0931" w:rsidRDefault="001D17CE" w:rsidP="001D17CE">
      <w:pPr>
        <w:shd w:val="clear" w:color="auto" w:fill="FFFFFF"/>
        <w:textAlignment w:val="baseline"/>
        <w:rPr>
          <w:rFonts w:cstheme="minorHAnsi"/>
          <w:color w:val="423736"/>
          <w:shd w:val="clear" w:color="auto" w:fill="FFFFFF"/>
        </w:rPr>
      </w:pPr>
      <w:r w:rsidRPr="00EA0931">
        <w:rPr>
          <w:rFonts w:cstheme="minorHAnsi"/>
          <w:color w:val="212121"/>
        </w:rPr>
        <w:t>In this manuscript, the p</w:t>
      </w:r>
      <w:r w:rsidR="00CB2AA0" w:rsidRPr="00EA0931">
        <w:rPr>
          <w:rFonts w:cstheme="minorHAnsi"/>
          <w:color w:val="212121"/>
        </w:rPr>
        <w:t>age that has the text has no diagram, rather it is on the previous page</w:t>
      </w:r>
    </w:p>
    <w:p w14:paraId="024A4463" w14:textId="7AB870D8" w:rsidR="00CB2AA0" w:rsidRDefault="00CB2AA0" w:rsidP="00BF7754">
      <w:pPr>
        <w:shd w:val="clear" w:color="auto" w:fill="FFFFFF"/>
        <w:textAlignment w:val="baseline"/>
        <w:rPr>
          <w:rFonts w:ascii="Segoe UI" w:hAnsi="Segoe UI" w:cs="Segoe UI"/>
          <w:color w:val="212121"/>
          <w:sz w:val="23"/>
          <w:szCs w:val="23"/>
        </w:rPr>
      </w:pPr>
      <w:r>
        <w:rPr>
          <w:rFonts w:ascii="Segoe UI" w:hAnsi="Segoe UI" w:cs="Segoe UI"/>
          <w:noProof/>
          <w:color w:val="212121"/>
          <w:sz w:val="23"/>
          <w:szCs w:val="23"/>
        </w:rPr>
        <w:drawing>
          <wp:inline distT="0" distB="0" distL="0" distR="0" wp14:anchorId="0A64016B" wp14:editId="205512A1">
            <wp:extent cx="5934075"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8200"/>
                    </a:xfrm>
                    <a:prstGeom prst="rect">
                      <a:avLst/>
                    </a:prstGeom>
                    <a:noFill/>
                    <a:ln>
                      <a:noFill/>
                    </a:ln>
                  </pic:spPr>
                </pic:pic>
              </a:graphicData>
            </a:graphic>
          </wp:inline>
        </w:drawing>
      </w:r>
    </w:p>
    <w:p w14:paraId="4B6F1894" w14:textId="1CFA922F" w:rsidR="001D17CE" w:rsidRDefault="00E943E7" w:rsidP="001D17CE">
      <w:r>
        <w:rPr>
          <w:noProof/>
        </w:rPr>
        <w:drawing>
          <wp:inline distT="0" distB="0" distL="0" distR="0" wp14:anchorId="12BDBF58" wp14:editId="66DDBA49">
            <wp:extent cx="6589774" cy="1914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4237" cy="1915822"/>
                    </a:xfrm>
                    <a:prstGeom prst="rect">
                      <a:avLst/>
                    </a:prstGeom>
                    <a:noFill/>
                    <a:ln>
                      <a:noFill/>
                    </a:ln>
                  </pic:spPr>
                </pic:pic>
              </a:graphicData>
            </a:graphic>
          </wp:inline>
        </w:drawing>
      </w:r>
      <w:bookmarkStart w:id="8" w:name="_Hlk533518544"/>
      <w:r w:rsidR="001E4BBC">
        <w:t>However,</w:t>
      </w:r>
      <w:r w:rsidR="00EA0931">
        <w:t xml:space="preserve"> </w:t>
      </w:r>
      <w:r w:rsidR="001E4BBC">
        <w:t>t</w:t>
      </w:r>
      <w:r w:rsidR="001D17CE">
        <w:t xml:space="preserve">his manuscript has no diagram in Rashi </w:t>
      </w:r>
    </w:p>
    <w:p w14:paraId="7311DFBE" w14:textId="77777777" w:rsidR="00AB23EB" w:rsidRDefault="00E11025" w:rsidP="001D17CE">
      <w:pPr>
        <w:rPr>
          <w:rFonts w:ascii="Segoe UI" w:hAnsi="Segoe UI" w:cs="Segoe UI"/>
          <w:color w:val="212121"/>
          <w:sz w:val="23"/>
          <w:szCs w:val="23"/>
          <w:shd w:val="clear" w:color="auto" w:fill="FFFFFF"/>
        </w:rPr>
      </w:pPr>
      <w:r>
        <w:t>British Library</w:t>
      </w:r>
      <w:r w:rsidR="004F38C3">
        <w:t xml:space="preserve"> or</w:t>
      </w:r>
      <w:r w:rsidR="008444D0">
        <w:t xml:space="preserve"> </w:t>
      </w:r>
      <w:r w:rsidR="004F38C3">
        <w:t>5975</w:t>
      </w:r>
      <w:r w:rsidR="008444D0">
        <w:t xml:space="preserve">- </w:t>
      </w:r>
      <w:r>
        <w:rPr>
          <w:rFonts w:ascii="Segoe UI" w:hAnsi="Segoe UI" w:cs="Segoe UI"/>
          <w:color w:val="212121"/>
          <w:sz w:val="23"/>
          <w:szCs w:val="23"/>
          <w:shd w:val="clear" w:color="auto" w:fill="FFFFFF"/>
        </w:rPr>
        <w:t>ms BL 409</w:t>
      </w:r>
      <w:bookmarkEnd w:id="8"/>
    </w:p>
    <w:p w14:paraId="795A5C28" w14:textId="6EAF0C5D" w:rsidR="00034278" w:rsidRDefault="00AB23EB" w:rsidP="001D17CE">
      <w:hyperlink r:id="rId17" w:history="1">
        <w:r>
          <w:rPr>
            <w:rStyle w:val="Hyperlink"/>
          </w:rPr>
          <w:t>http://www.bl.uk/manuscripts/FullDisplay.aspx?ref=Or_5975</w:t>
        </w:r>
      </w:hyperlink>
      <w:r>
        <w:rPr>
          <w:noProof/>
        </w:rPr>
        <w:t xml:space="preserve"> </w:t>
      </w:r>
      <w:r w:rsidR="00E11025">
        <w:rPr>
          <w:noProof/>
        </w:rPr>
        <w:drawing>
          <wp:inline distT="0" distB="0" distL="0" distR="0" wp14:anchorId="61E7AC33" wp14:editId="67996DC9">
            <wp:extent cx="5943600"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14:paraId="7A7976A9" w14:textId="05F7C243" w:rsidR="001D17CE" w:rsidRDefault="001D17CE">
      <w:bookmarkStart w:id="9" w:name="_Hlk533518646"/>
      <w:r>
        <w:t>This manuscript also has no diagram in our Rashi</w:t>
      </w:r>
    </w:p>
    <w:p w14:paraId="64FD7BE7" w14:textId="77110339" w:rsidR="00034278" w:rsidRDefault="00034278">
      <w:r>
        <w:t>Vatican ebr. 138</w:t>
      </w:r>
      <w:r w:rsidR="00856C63">
        <w:t xml:space="preserve"> </w:t>
      </w:r>
      <w:bookmarkEnd w:id="9"/>
      <w:r w:rsidR="00856C63">
        <w:t xml:space="preserve">– </w:t>
      </w:r>
    </w:p>
    <w:p w14:paraId="62B589A1" w14:textId="408E2176" w:rsidR="00AB23EB" w:rsidRDefault="00AB23EB">
      <w:hyperlink r:id="rId19" w:history="1">
        <w:r>
          <w:rPr>
            <w:rStyle w:val="Hyperlink"/>
          </w:rPr>
          <w:t>https://digi.vatlib.it/view/MSS_Vat.ebr.138</w:t>
        </w:r>
      </w:hyperlink>
    </w:p>
    <w:p w14:paraId="44E21240" w14:textId="77777777" w:rsidR="001E4BBC" w:rsidRDefault="00034278" w:rsidP="001E4BBC">
      <w:r>
        <w:rPr>
          <w:noProof/>
        </w:rPr>
        <w:drawing>
          <wp:inline distT="0" distB="0" distL="0" distR="0" wp14:anchorId="787778E6" wp14:editId="4C7BA075">
            <wp:extent cx="5943600" cy="65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bookmarkStart w:id="10" w:name="_Hlk533520865"/>
    </w:p>
    <w:p w14:paraId="0871D54D" w14:textId="77777777" w:rsidR="00AB23EB" w:rsidRDefault="00AB23EB" w:rsidP="001E4BBC"/>
    <w:p w14:paraId="24533FAA" w14:textId="28BE2571" w:rsidR="00AB23EB" w:rsidRDefault="001E4BBC" w:rsidP="001E4BBC">
      <w:r>
        <w:t xml:space="preserve">The most mysterious manuscript though is known as </w:t>
      </w:r>
      <w:r w:rsidR="00707CB2">
        <w:t>Parma 2087</w:t>
      </w:r>
      <w:r>
        <w:t>.</w:t>
      </w:r>
      <w:r w:rsidR="00707CB2">
        <w:t xml:space="preserve"> </w:t>
      </w:r>
      <w:bookmarkEnd w:id="10"/>
    </w:p>
    <w:p w14:paraId="21AF1ADF" w14:textId="0B4B46F7" w:rsidR="00AB23EB" w:rsidRDefault="00AB23EB" w:rsidP="001E4BBC">
      <w:hyperlink r:id="rId21" w:history="1">
        <w:r>
          <w:rPr>
            <w:rStyle w:val="Hyperlink"/>
          </w:rPr>
          <w:t>https://web.nli.org.il/sites/NLIS/en/ManuScript/Pages/Item.aspx?ItemID=PNX_MANUSCRIPTS000095123</w:t>
        </w:r>
      </w:hyperlink>
    </w:p>
    <w:p w14:paraId="72132C9F" w14:textId="1210A9EA" w:rsidR="00707CB2" w:rsidRDefault="001E4BBC" w:rsidP="001E4BBC">
      <w:r>
        <w:t xml:space="preserve">It has the word </w:t>
      </w:r>
      <w:r w:rsidRPr="001E4BBC">
        <w:rPr>
          <w:rFonts w:cs="Arial"/>
          <w:rtl/>
          <w:lang w:bidi="he-IL"/>
        </w:rPr>
        <w:t>כזה</w:t>
      </w:r>
      <w:r w:rsidR="00707CB2">
        <w:t xml:space="preserve"> and space </w:t>
      </w:r>
      <w:r>
        <w:t xml:space="preserve">for a diagram, </w:t>
      </w:r>
      <w:r w:rsidR="00707CB2">
        <w:t xml:space="preserve">but no diagram. </w:t>
      </w:r>
      <w:r w:rsidR="004869C4">
        <w:t xml:space="preserve">It even has </w:t>
      </w:r>
      <w:r w:rsidR="004869C4" w:rsidRPr="004869C4">
        <w:rPr>
          <w:rFonts w:cs="Arial"/>
          <w:rtl/>
          <w:lang w:bidi="he-IL"/>
        </w:rPr>
        <w:t>כזה</w:t>
      </w:r>
      <w:r w:rsidR="004869C4">
        <w:t xml:space="preserve"> and a space in the Rashi </w:t>
      </w:r>
      <w:r w:rsidR="004869C4" w:rsidRPr="004869C4">
        <w:rPr>
          <w:rFonts w:cs="Arial"/>
          <w:rtl/>
          <w:lang w:bidi="he-IL"/>
        </w:rPr>
        <w:t>לרחבה</w:t>
      </w:r>
      <w:r w:rsidR="004869C4">
        <w:rPr>
          <w:rFonts w:cs="Arial"/>
          <w:lang w:bidi="he-IL"/>
        </w:rPr>
        <w:t>.</w:t>
      </w:r>
    </w:p>
    <w:p w14:paraId="7A90B282" w14:textId="642BCCFE" w:rsidR="00707CB2" w:rsidRDefault="00707CB2">
      <w:r>
        <w:rPr>
          <w:noProof/>
        </w:rPr>
        <w:drawing>
          <wp:inline distT="0" distB="0" distL="0" distR="0" wp14:anchorId="1045FA3C" wp14:editId="554CBBC5">
            <wp:extent cx="5943600" cy="175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7F6417DE" w14:textId="5242E58B" w:rsidR="00707CB2" w:rsidRDefault="004869C4">
      <w:r>
        <w:t>What did Rashi’s own manuscript have</w:t>
      </w:r>
      <w:r w:rsidR="00EA0931">
        <w:t xml:space="preserve">? We have three </w:t>
      </w:r>
      <w:r w:rsidR="00EA0931" w:rsidRPr="00EA0931">
        <w:rPr>
          <w:rFonts w:cs="Arial"/>
          <w:rtl/>
          <w:lang w:bidi="he-IL"/>
        </w:rPr>
        <w:t>עדי נוסח</w:t>
      </w:r>
      <w:r w:rsidR="00EA0931">
        <w:rPr>
          <w:rFonts w:cs="Arial"/>
          <w:lang w:bidi="he-IL"/>
        </w:rPr>
        <w:t xml:space="preserve"> indicating there was a diagram in the original Rashi, and perhaps the same amount indicating it was not there. </w:t>
      </w:r>
      <w:r>
        <w:t xml:space="preserve"> One suspects that it </w:t>
      </w:r>
      <w:r w:rsidR="00EA0931">
        <w:t xml:space="preserve">did </w:t>
      </w:r>
      <w:r>
        <w:t>ha</w:t>
      </w:r>
      <w:r w:rsidR="00EA0931">
        <w:t>ve</w:t>
      </w:r>
      <w:r>
        <w:t xml:space="preserve"> a diagram or two as it is easier to imagine someone elimina</w:t>
      </w:r>
      <w:r w:rsidR="00AB23EB">
        <w:t>ting</w:t>
      </w:r>
      <w:bookmarkStart w:id="11" w:name="_GoBack"/>
      <w:bookmarkEnd w:id="11"/>
      <w:r>
        <w:t xml:space="preserve"> a diagram than someone adding it to the text of Rashi. </w:t>
      </w:r>
    </w:p>
    <w:p w14:paraId="661FA43B" w14:textId="77777777" w:rsidR="00E943E7" w:rsidRDefault="00E943E7"/>
    <w:p w14:paraId="11ABBA49" w14:textId="77777777" w:rsidR="00E943E7" w:rsidRDefault="00E943E7"/>
    <w:p w14:paraId="64055F17" w14:textId="77777777" w:rsidR="00E943E7" w:rsidRDefault="00E943E7"/>
    <w:p w14:paraId="3E854199" w14:textId="77777777" w:rsidR="00E943E7" w:rsidRDefault="00E943E7"/>
    <w:p w14:paraId="3F73DBB0" w14:textId="77777777" w:rsidR="00E943E7" w:rsidRDefault="00E943E7"/>
    <w:p w14:paraId="0AC2A941" w14:textId="77777777" w:rsidR="00E943E7" w:rsidRDefault="00E943E7"/>
    <w:p w14:paraId="060F33C0" w14:textId="77777777" w:rsidR="00E943E7" w:rsidRDefault="00E943E7"/>
    <w:p w14:paraId="27007646" w14:textId="77777777" w:rsidR="00E943E7" w:rsidRDefault="00E943E7"/>
    <w:p w14:paraId="656A3E1D" w14:textId="77777777" w:rsidR="00E943E7" w:rsidRDefault="00E943E7"/>
    <w:p w14:paraId="297930A5" w14:textId="77777777" w:rsidR="007E7AD2" w:rsidRDefault="007E7AD2"/>
    <w:sectPr w:rsidR="007E7AD2" w:rsidSect="00D009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E75D9A"/>
    <w:multiLevelType w:val="hybridMultilevel"/>
    <w:tmpl w:val="74C4136C"/>
    <w:lvl w:ilvl="0" w:tplc="09CACCDA">
      <w:start w:val="1"/>
      <w:numFmt w:val="hebrew1"/>
      <w:lvlText w:val="%1."/>
      <w:lvlJc w:val="left"/>
      <w:pPr>
        <w:ind w:left="720" w:hanging="360"/>
      </w:pPr>
      <w:rPr>
        <w:rFonts w:ascii="Arial" w:hAnsi="Arial" w:cs="Arial" w:hint="default"/>
        <w:b/>
        <w:color w:val="D6003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F5189"/>
    <w:rsid w:val="0000750F"/>
    <w:rsid w:val="00034222"/>
    <w:rsid w:val="00034278"/>
    <w:rsid w:val="00036EA4"/>
    <w:rsid w:val="0005761F"/>
    <w:rsid w:val="000670B9"/>
    <w:rsid w:val="00072505"/>
    <w:rsid w:val="000A6177"/>
    <w:rsid w:val="000B7FFD"/>
    <w:rsid w:val="000E7BB4"/>
    <w:rsid w:val="000F12F6"/>
    <w:rsid w:val="00191406"/>
    <w:rsid w:val="001A6AF9"/>
    <w:rsid w:val="001D17CE"/>
    <w:rsid w:val="001E4BBC"/>
    <w:rsid w:val="002E405C"/>
    <w:rsid w:val="002E54AB"/>
    <w:rsid w:val="002E6DA4"/>
    <w:rsid w:val="003317E0"/>
    <w:rsid w:val="00334E53"/>
    <w:rsid w:val="00355167"/>
    <w:rsid w:val="00391EBB"/>
    <w:rsid w:val="003B0BF9"/>
    <w:rsid w:val="003B4C25"/>
    <w:rsid w:val="003F21B9"/>
    <w:rsid w:val="003F5F17"/>
    <w:rsid w:val="00411CDF"/>
    <w:rsid w:val="0046041B"/>
    <w:rsid w:val="004869C4"/>
    <w:rsid w:val="004B7A19"/>
    <w:rsid w:val="004F38C3"/>
    <w:rsid w:val="005510A9"/>
    <w:rsid w:val="005A5761"/>
    <w:rsid w:val="005D6617"/>
    <w:rsid w:val="005F5189"/>
    <w:rsid w:val="005F57B4"/>
    <w:rsid w:val="00666FF7"/>
    <w:rsid w:val="00676A58"/>
    <w:rsid w:val="006B6F1D"/>
    <w:rsid w:val="006C1B1A"/>
    <w:rsid w:val="00707CB2"/>
    <w:rsid w:val="00742624"/>
    <w:rsid w:val="00771791"/>
    <w:rsid w:val="007813B2"/>
    <w:rsid w:val="007E7AD2"/>
    <w:rsid w:val="008444D0"/>
    <w:rsid w:val="00856C63"/>
    <w:rsid w:val="00861E34"/>
    <w:rsid w:val="00876311"/>
    <w:rsid w:val="008C4754"/>
    <w:rsid w:val="009326B1"/>
    <w:rsid w:val="00963331"/>
    <w:rsid w:val="009942E9"/>
    <w:rsid w:val="009A548C"/>
    <w:rsid w:val="009A7648"/>
    <w:rsid w:val="009C09CE"/>
    <w:rsid w:val="00A52A37"/>
    <w:rsid w:val="00AA0509"/>
    <w:rsid w:val="00AB23EB"/>
    <w:rsid w:val="00B5532A"/>
    <w:rsid w:val="00BF7754"/>
    <w:rsid w:val="00C064E9"/>
    <w:rsid w:val="00C23209"/>
    <w:rsid w:val="00CB2AA0"/>
    <w:rsid w:val="00CE768E"/>
    <w:rsid w:val="00D0091C"/>
    <w:rsid w:val="00D50506"/>
    <w:rsid w:val="00E11025"/>
    <w:rsid w:val="00E41D19"/>
    <w:rsid w:val="00E943E7"/>
    <w:rsid w:val="00EA0931"/>
    <w:rsid w:val="00EA5C63"/>
    <w:rsid w:val="00F008D6"/>
    <w:rsid w:val="00F161E9"/>
    <w:rsid w:val="17E17A8D"/>
    <w:rsid w:val="19C65D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793F5"/>
  <w15:docId w15:val="{9FB91505-0E64-444C-A3CB-4C43228F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189"/>
    <w:rPr>
      <w:rFonts w:ascii="Tahoma" w:hAnsi="Tahoma" w:cs="Tahoma"/>
      <w:sz w:val="16"/>
      <w:szCs w:val="16"/>
    </w:rPr>
  </w:style>
  <w:style w:type="character" w:styleId="Hyperlink">
    <w:name w:val="Hyperlink"/>
    <w:basedOn w:val="DefaultParagraphFont"/>
    <w:uiPriority w:val="99"/>
    <w:unhideWhenUsed/>
    <w:rsid w:val="00963331"/>
    <w:rPr>
      <w:color w:val="0000FF" w:themeColor="hyperlink"/>
      <w:u w:val="single"/>
    </w:rPr>
  </w:style>
  <w:style w:type="character" w:styleId="UnresolvedMention">
    <w:name w:val="Unresolved Mention"/>
    <w:basedOn w:val="DefaultParagraphFont"/>
    <w:uiPriority w:val="99"/>
    <w:semiHidden/>
    <w:unhideWhenUsed/>
    <w:rsid w:val="00963331"/>
    <w:rPr>
      <w:color w:val="605E5C"/>
      <w:shd w:val="clear" w:color="auto" w:fill="E1DFDD"/>
    </w:rPr>
  </w:style>
  <w:style w:type="character" w:customStyle="1" w:styleId="section">
    <w:name w:val="section"/>
    <w:basedOn w:val="DefaultParagraphFont"/>
    <w:rsid w:val="006C1B1A"/>
  </w:style>
  <w:style w:type="character" w:customStyle="1" w:styleId="versenum">
    <w:name w:val="versenum"/>
    <w:basedOn w:val="DefaultParagraphFont"/>
    <w:rsid w:val="006C1B1A"/>
  </w:style>
  <w:style w:type="paragraph" w:styleId="ListParagraph">
    <w:name w:val="List Paragraph"/>
    <w:basedOn w:val="Normal"/>
    <w:uiPriority w:val="34"/>
    <w:qFormat/>
    <w:rsid w:val="006C1B1A"/>
    <w:pPr>
      <w:ind w:left="720"/>
      <w:contextualSpacing/>
    </w:pPr>
  </w:style>
  <w:style w:type="paragraph" w:styleId="NormalWeb">
    <w:name w:val="Normal (Web)"/>
    <w:basedOn w:val="Normal"/>
    <w:uiPriority w:val="99"/>
    <w:semiHidden/>
    <w:unhideWhenUsed/>
    <w:rsid w:val="000F12F6"/>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5558">
      <w:bodyDiv w:val="1"/>
      <w:marLeft w:val="0"/>
      <w:marRight w:val="0"/>
      <w:marTop w:val="0"/>
      <w:marBottom w:val="0"/>
      <w:divBdr>
        <w:top w:val="none" w:sz="0" w:space="0" w:color="auto"/>
        <w:left w:val="none" w:sz="0" w:space="0" w:color="auto"/>
        <w:bottom w:val="none" w:sz="0" w:space="0" w:color="auto"/>
        <w:right w:val="none" w:sz="0" w:space="0" w:color="auto"/>
      </w:divBdr>
      <w:divsChild>
        <w:div w:id="620570666">
          <w:marLeft w:val="0"/>
          <w:marRight w:val="0"/>
          <w:marTop w:val="0"/>
          <w:marBottom w:val="0"/>
          <w:divBdr>
            <w:top w:val="none" w:sz="0" w:space="0" w:color="auto"/>
            <w:left w:val="none" w:sz="0" w:space="0" w:color="auto"/>
            <w:bottom w:val="none" w:sz="0" w:space="0" w:color="auto"/>
            <w:right w:val="none" w:sz="0" w:space="0" w:color="auto"/>
          </w:divBdr>
        </w:div>
        <w:div w:id="1834027683">
          <w:marLeft w:val="0"/>
          <w:marRight w:val="0"/>
          <w:marTop w:val="0"/>
          <w:marBottom w:val="0"/>
          <w:divBdr>
            <w:top w:val="none" w:sz="0" w:space="0" w:color="auto"/>
            <w:left w:val="none" w:sz="0" w:space="0" w:color="auto"/>
            <w:bottom w:val="none" w:sz="0" w:space="0" w:color="auto"/>
            <w:right w:val="none" w:sz="0" w:space="0" w:color="auto"/>
          </w:divBdr>
        </w:div>
      </w:divsChild>
    </w:div>
    <w:div w:id="1120684415">
      <w:bodyDiv w:val="1"/>
      <w:marLeft w:val="0"/>
      <w:marRight w:val="0"/>
      <w:marTop w:val="0"/>
      <w:marBottom w:val="0"/>
      <w:divBdr>
        <w:top w:val="none" w:sz="0" w:space="0" w:color="auto"/>
        <w:left w:val="none" w:sz="0" w:space="0" w:color="auto"/>
        <w:bottom w:val="none" w:sz="0" w:space="0" w:color="auto"/>
        <w:right w:val="none" w:sz="0" w:space="0" w:color="auto"/>
      </w:divBdr>
      <w:divsChild>
        <w:div w:id="1117138210">
          <w:marLeft w:val="0"/>
          <w:marRight w:val="0"/>
          <w:marTop w:val="0"/>
          <w:marBottom w:val="0"/>
          <w:divBdr>
            <w:top w:val="none" w:sz="0" w:space="0" w:color="auto"/>
            <w:left w:val="none" w:sz="0" w:space="0" w:color="auto"/>
            <w:bottom w:val="none" w:sz="0" w:space="0" w:color="auto"/>
            <w:right w:val="none" w:sz="0" w:space="0" w:color="auto"/>
          </w:divBdr>
        </w:div>
        <w:div w:id="422260741">
          <w:marLeft w:val="0"/>
          <w:marRight w:val="0"/>
          <w:marTop w:val="0"/>
          <w:marBottom w:val="0"/>
          <w:divBdr>
            <w:top w:val="none" w:sz="0" w:space="0" w:color="auto"/>
            <w:left w:val="none" w:sz="0" w:space="0" w:color="auto"/>
            <w:bottom w:val="none" w:sz="0" w:space="0" w:color="auto"/>
            <w:right w:val="none" w:sz="0" w:space="0" w:color="auto"/>
          </w:divBdr>
        </w:div>
      </w:divsChild>
    </w:div>
    <w:div w:id="1568610941">
      <w:bodyDiv w:val="1"/>
      <w:marLeft w:val="0"/>
      <w:marRight w:val="0"/>
      <w:marTop w:val="0"/>
      <w:marBottom w:val="0"/>
      <w:divBdr>
        <w:top w:val="none" w:sz="0" w:space="0" w:color="auto"/>
        <w:left w:val="none" w:sz="0" w:space="0" w:color="auto"/>
        <w:bottom w:val="none" w:sz="0" w:space="0" w:color="auto"/>
        <w:right w:val="none" w:sz="0" w:space="0" w:color="auto"/>
      </w:divBdr>
      <w:divsChild>
        <w:div w:id="360009802">
          <w:marLeft w:val="0"/>
          <w:marRight w:val="0"/>
          <w:marTop w:val="0"/>
          <w:marBottom w:val="0"/>
          <w:divBdr>
            <w:top w:val="none" w:sz="0" w:space="0" w:color="auto"/>
            <w:left w:val="none" w:sz="0" w:space="0" w:color="auto"/>
            <w:bottom w:val="none" w:sz="0" w:space="0" w:color="auto"/>
            <w:right w:val="none" w:sz="0" w:space="0" w:color="auto"/>
          </w:divBdr>
        </w:div>
        <w:div w:id="1058865350">
          <w:marLeft w:val="0"/>
          <w:marRight w:val="0"/>
          <w:marTop w:val="0"/>
          <w:marBottom w:val="0"/>
          <w:divBdr>
            <w:top w:val="none" w:sz="0" w:space="0" w:color="auto"/>
            <w:left w:val="none" w:sz="0" w:space="0" w:color="auto"/>
            <w:bottom w:val="none" w:sz="0" w:space="0" w:color="auto"/>
            <w:right w:val="none" w:sz="0" w:space="0" w:color="auto"/>
          </w:divBdr>
        </w:div>
        <w:div w:id="1035352905">
          <w:marLeft w:val="0"/>
          <w:marRight w:val="0"/>
          <w:marTop w:val="0"/>
          <w:marBottom w:val="0"/>
          <w:divBdr>
            <w:top w:val="none" w:sz="0" w:space="0" w:color="auto"/>
            <w:left w:val="none" w:sz="0" w:space="0" w:color="auto"/>
            <w:bottom w:val="none" w:sz="0" w:space="0" w:color="auto"/>
            <w:right w:val="none" w:sz="0" w:space="0" w:color="auto"/>
          </w:divBdr>
        </w:div>
        <w:div w:id="1937245794">
          <w:marLeft w:val="0"/>
          <w:marRight w:val="0"/>
          <w:marTop w:val="0"/>
          <w:marBottom w:val="0"/>
          <w:divBdr>
            <w:top w:val="none" w:sz="0" w:space="0" w:color="auto"/>
            <w:left w:val="none" w:sz="0" w:space="0" w:color="auto"/>
            <w:bottom w:val="none" w:sz="0" w:space="0" w:color="auto"/>
            <w:right w:val="none" w:sz="0" w:space="0" w:color="auto"/>
          </w:divBdr>
        </w:div>
        <w:div w:id="1953049612">
          <w:marLeft w:val="0"/>
          <w:marRight w:val="0"/>
          <w:marTop w:val="0"/>
          <w:marBottom w:val="0"/>
          <w:divBdr>
            <w:top w:val="none" w:sz="0" w:space="0" w:color="auto"/>
            <w:left w:val="none" w:sz="0" w:space="0" w:color="auto"/>
            <w:bottom w:val="none" w:sz="0" w:space="0" w:color="auto"/>
            <w:right w:val="none" w:sz="0" w:space="0" w:color="auto"/>
          </w:divBdr>
        </w:div>
      </w:divsChild>
    </w:div>
    <w:div w:id="1603420070">
      <w:bodyDiv w:val="1"/>
      <w:marLeft w:val="0"/>
      <w:marRight w:val="0"/>
      <w:marTop w:val="0"/>
      <w:marBottom w:val="0"/>
      <w:divBdr>
        <w:top w:val="none" w:sz="0" w:space="0" w:color="auto"/>
        <w:left w:val="none" w:sz="0" w:space="0" w:color="auto"/>
        <w:bottom w:val="none" w:sz="0" w:space="0" w:color="auto"/>
        <w:right w:val="none" w:sz="0" w:space="0" w:color="auto"/>
      </w:divBdr>
    </w:div>
    <w:div w:id="1932353048">
      <w:bodyDiv w:val="1"/>
      <w:marLeft w:val="0"/>
      <w:marRight w:val="0"/>
      <w:marTop w:val="0"/>
      <w:marBottom w:val="0"/>
      <w:divBdr>
        <w:top w:val="none" w:sz="0" w:space="0" w:color="auto"/>
        <w:left w:val="none" w:sz="0" w:space="0" w:color="auto"/>
        <w:bottom w:val="none" w:sz="0" w:space="0" w:color="auto"/>
        <w:right w:val="none" w:sz="0" w:space="0" w:color="auto"/>
      </w:divBdr>
      <w:divsChild>
        <w:div w:id="162595771">
          <w:marLeft w:val="0"/>
          <w:marRight w:val="0"/>
          <w:marTop w:val="0"/>
          <w:marBottom w:val="0"/>
          <w:divBdr>
            <w:top w:val="none" w:sz="0" w:space="0" w:color="auto"/>
            <w:left w:val="none" w:sz="0" w:space="0" w:color="auto"/>
            <w:bottom w:val="none" w:sz="0" w:space="0" w:color="auto"/>
            <w:right w:val="none" w:sz="0" w:space="0" w:color="auto"/>
          </w:divBdr>
        </w:div>
        <w:div w:id="402991490">
          <w:marLeft w:val="0"/>
          <w:marRight w:val="0"/>
          <w:marTop w:val="0"/>
          <w:marBottom w:val="0"/>
          <w:divBdr>
            <w:top w:val="none" w:sz="0" w:space="0" w:color="auto"/>
            <w:left w:val="none" w:sz="0" w:space="0" w:color="auto"/>
            <w:bottom w:val="none" w:sz="0" w:space="0" w:color="auto"/>
            <w:right w:val="none" w:sz="0" w:space="0" w:color="auto"/>
          </w:divBdr>
        </w:div>
      </w:divsChild>
    </w:div>
    <w:div w:id="1966036912">
      <w:bodyDiv w:val="1"/>
      <w:marLeft w:val="0"/>
      <w:marRight w:val="0"/>
      <w:marTop w:val="0"/>
      <w:marBottom w:val="0"/>
      <w:divBdr>
        <w:top w:val="none" w:sz="0" w:space="0" w:color="auto"/>
        <w:left w:val="none" w:sz="0" w:space="0" w:color="auto"/>
        <w:bottom w:val="none" w:sz="0" w:space="0" w:color="auto"/>
        <w:right w:val="none" w:sz="0" w:space="0" w:color="auto"/>
      </w:divBdr>
      <w:divsChild>
        <w:div w:id="1116213571">
          <w:marLeft w:val="0"/>
          <w:marRight w:val="0"/>
          <w:marTop w:val="0"/>
          <w:marBottom w:val="0"/>
          <w:divBdr>
            <w:top w:val="none" w:sz="0" w:space="0" w:color="auto"/>
            <w:left w:val="none" w:sz="0" w:space="0" w:color="auto"/>
            <w:bottom w:val="none" w:sz="0" w:space="0" w:color="auto"/>
            <w:right w:val="none" w:sz="0" w:space="0" w:color="auto"/>
          </w:divBdr>
        </w:div>
        <w:div w:id="1199702229">
          <w:marLeft w:val="0"/>
          <w:marRight w:val="0"/>
          <w:marTop w:val="0"/>
          <w:marBottom w:val="0"/>
          <w:divBdr>
            <w:top w:val="none" w:sz="0" w:space="0" w:color="auto"/>
            <w:left w:val="none" w:sz="0" w:space="0" w:color="auto"/>
            <w:bottom w:val="none" w:sz="0" w:space="0" w:color="auto"/>
            <w:right w:val="none" w:sz="0" w:space="0" w:color="auto"/>
          </w:divBdr>
        </w:div>
        <w:div w:id="70006117">
          <w:marLeft w:val="0"/>
          <w:marRight w:val="0"/>
          <w:marTop w:val="0"/>
          <w:marBottom w:val="0"/>
          <w:divBdr>
            <w:top w:val="none" w:sz="0" w:space="0" w:color="auto"/>
            <w:left w:val="none" w:sz="0" w:space="0" w:color="auto"/>
            <w:bottom w:val="none" w:sz="0" w:space="0" w:color="auto"/>
            <w:right w:val="none" w:sz="0" w:space="0" w:color="auto"/>
          </w:divBdr>
        </w:div>
        <w:div w:id="1783383661">
          <w:marLeft w:val="0"/>
          <w:marRight w:val="0"/>
          <w:marTop w:val="0"/>
          <w:marBottom w:val="0"/>
          <w:divBdr>
            <w:top w:val="none" w:sz="0" w:space="0" w:color="auto"/>
            <w:left w:val="none" w:sz="0" w:space="0" w:color="auto"/>
            <w:bottom w:val="none" w:sz="0" w:space="0" w:color="auto"/>
            <w:right w:val="none" w:sz="0" w:space="0" w:color="auto"/>
          </w:divBdr>
        </w:div>
        <w:div w:id="1646738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eb.nli.org.il/sites/NLIS/en/ManuScript/Pages/Item.aspx?ItemID=PNX_MANUSCRIPTS000095123" TargetMode="External"/><Relationship Id="rId7" Type="http://schemas.openxmlformats.org/officeDocument/2006/relationships/image" Target="media/image3.png"/><Relationship Id="rId12" Type="http://schemas.openxmlformats.org/officeDocument/2006/relationships/hyperlink" Target="http://aleph.nli.org.il:80/F/?func=direct&amp;doc_number=000129229&amp;local_base=NNL01" TargetMode="External"/><Relationship Id="rId17" Type="http://schemas.openxmlformats.org/officeDocument/2006/relationships/hyperlink" Target="http://www.bl.uk/manuscripts/FullDisplay.aspx?ref=Or_5975"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digi.vatlib.it/view/MSS_Vat.ebr.13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aleph.nli.org.il:80/F/?func=direct&amp;doc_number=000054530&amp;local_base=NNL01"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6</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Eli Genauer</cp:lastModifiedBy>
  <cp:revision>37</cp:revision>
  <dcterms:created xsi:type="dcterms:W3CDTF">2017-01-06T01:18:00Z</dcterms:created>
  <dcterms:modified xsi:type="dcterms:W3CDTF">2020-03-10T20:44:00Z</dcterms:modified>
</cp:coreProperties>
</file>