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EA446" w14:textId="7AA55700" w:rsidR="00594BC4" w:rsidRDefault="00594BC4" w:rsidP="0027472F">
      <w:pPr>
        <w:bidi/>
      </w:pPr>
      <w:bookmarkStart w:id="0" w:name="_Hlk40015664"/>
      <w:r>
        <w:t xml:space="preserve">   </w:t>
      </w:r>
      <w:r w:rsidR="00132E1A">
        <w:t xml:space="preserve">     </w:t>
      </w:r>
      <w:r>
        <w:t xml:space="preserve">  </w:t>
      </w:r>
      <w:r w:rsidR="0027472F">
        <w:t xml:space="preserve">               </w:t>
      </w:r>
      <w:r>
        <w:t xml:space="preserve">            </w:t>
      </w:r>
      <w:r w:rsidR="0027472F" w:rsidRPr="0027472F">
        <w:rPr>
          <w:rFonts w:cs="Arial"/>
          <w:rtl/>
          <w:lang w:bidi="he-IL"/>
        </w:rPr>
        <w:t>מסכת שבת צ״ח׃ "והבריח התיכון בתוך הקרשים תנא בנס היה עומד"</w:t>
      </w:r>
    </w:p>
    <w:p w14:paraId="61E0EA5E" w14:textId="68DCA895" w:rsidR="00594BC4" w:rsidRDefault="00594BC4" w:rsidP="00594BC4">
      <w:r>
        <w:tab/>
      </w:r>
      <w:r>
        <w:tab/>
      </w:r>
      <w:r>
        <w:tab/>
        <w:t xml:space="preserve">                          By: Eli Genauer</w:t>
      </w:r>
    </w:p>
    <w:p w14:paraId="69A1378A" w14:textId="0CD0A689" w:rsidR="00FA4198" w:rsidRDefault="00AB6FA7" w:rsidP="00AB6FA7">
      <w:pPr>
        <w:bidi/>
      </w:pPr>
      <w:r>
        <w:rPr>
          <w:rFonts w:cs="Arial"/>
          <w:lang w:bidi="he-IL"/>
        </w:rPr>
        <w:t xml:space="preserve">                  </w:t>
      </w:r>
    </w:p>
    <w:p w14:paraId="0C8C094B" w14:textId="2443D55A" w:rsidR="00594BC4" w:rsidRDefault="00594BC4" w:rsidP="00594BC4">
      <w:r>
        <w:t xml:space="preserve">In the </w:t>
      </w:r>
      <w:r w:rsidRPr="00B472F7">
        <w:rPr>
          <w:i/>
          <w:iCs/>
        </w:rPr>
        <w:t>Vilna Shas</w:t>
      </w:r>
      <w:r>
        <w:t xml:space="preserve"> </w:t>
      </w:r>
      <w:r w:rsidR="0027472F" w:rsidRPr="0027472F">
        <w:rPr>
          <w:rFonts w:cs="Arial"/>
          <w:rtl/>
          <w:lang w:bidi="he-IL"/>
        </w:rPr>
        <w:t>מסכת שבת צ״ח</w:t>
      </w:r>
      <w:proofErr w:type="gramStart"/>
      <w:r w:rsidR="0027472F" w:rsidRPr="0027472F">
        <w:rPr>
          <w:rFonts w:cs="Arial"/>
          <w:rtl/>
          <w:lang w:bidi="he-IL"/>
        </w:rPr>
        <w:t xml:space="preserve">׃ </w:t>
      </w:r>
      <w:r w:rsidR="0027472F">
        <w:rPr>
          <w:rFonts w:cs="Arial"/>
          <w:lang w:bidi="he-IL"/>
        </w:rPr>
        <w:t xml:space="preserve"> </w:t>
      </w:r>
      <w:r>
        <w:t>one</w:t>
      </w:r>
      <w:proofErr w:type="gramEnd"/>
      <w:r>
        <w:t xml:space="preserve"> can see a closeup “picture” of one of the boards of the </w:t>
      </w:r>
      <w:proofErr w:type="spellStart"/>
      <w:r w:rsidRPr="00B472F7">
        <w:rPr>
          <w:i/>
          <w:iCs/>
        </w:rPr>
        <w:t>Mishkan</w:t>
      </w:r>
      <w:proofErr w:type="spellEnd"/>
      <w:r>
        <w:t xml:space="preserve"> (</w:t>
      </w:r>
      <w:r w:rsidR="00CE0F28" w:rsidRPr="00CE0F28">
        <w:t>"</w:t>
      </w:r>
      <w:r w:rsidR="00CE0F28" w:rsidRPr="00CE0F28">
        <w:rPr>
          <w:rFonts w:cs="Arial"/>
          <w:rtl/>
          <w:lang w:bidi="he-IL"/>
        </w:rPr>
        <w:t>קרש</w:t>
      </w:r>
      <w:r w:rsidR="00CE0F28" w:rsidRPr="00CE0F28">
        <w:t>"</w:t>
      </w:r>
      <w:r>
        <w:t>)</w:t>
      </w:r>
      <w:r w:rsidR="0027472F">
        <w:t>.</w:t>
      </w:r>
      <w:r>
        <w:t xml:space="preserve"> Instead of illustrating specific words of </w:t>
      </w:r>
      <w:proofErr w:type="spellStart"/>
      <w:r w:rsidRPr="00B472F7">
        <w:rPr>
          <w:i/>
          <w:iCs/>
        </w:rPr>
        <w:t>Rashi</w:t>
      </w:r>
      <w:proofErr w:type="spellEnd"/>
      <w:r>
        <w:t xml:space="preserve"> or </w:t>
      </w:r>
      <w:proofErr w:type="spellStart"/>
      <w:r w:rsidRPr="00B472F7">
        <w:rPr>
          <w:i/>
          <w:iCs/>
        </w:rPr>
        <w:t>Tosafot</w:t>
      </w:r>
      <w:proofErr w:type="spellEnd"/>
      <w:r>
        <w:t>, it is a general diagram of one of these boards</w:t>
      </w:r>
      <w:r w:rsidR="00D85FE7">
        <w:t xml:space="preserve"> and </w:t>
      </w:r>
      <w:r>
        <w:t xml:space="preserve">tries to paint a picture of a number of statements of the </w:t>
      </w:r>
      <w:proofErr w:type="spellStart"/>
      <w:r w:rsidRPr="00B472F7">
        <w:rPr>
          <w:i/>
          <w:iCs/>
        </w:rPr>
        <w:t>Gemara</w:t>
      </w:r>
      <w:proofErr w:type="spellEnd"/>
      <w:r>
        <w:t xml:space="preserve"> on this particular </w:t>
      </w:r>
      <w:proofErr w:type="spellStart"/>
      <w:r w:rsidRPr="00B472F7">
        <w:rPr>
          <w:i/>
          <w:iCs/>
        </w:rPr>
        <w:t>Daf</w:t>
      </w:r>
      <w:proofErr w:type="spellEnd"/>
      <w:r>
        <w:t xml:space="preserve">. By its positioning on the page, it looks as if it depicts something in a comment of </w:t>
      </w:r>
      <w:proofErr w:type="spellStart"/>
      <w:r w:rsidRPr="00B472F7">
        <w:rPr>
          <w:i/>
          <w:iCs/>
        </w:rPr>
        <w:t>Rashi</w:t>
      </w:r>
      <w:proofErr w:type="spellEnd"/>
      <w:r w:rsidR="00960605">
        <w:t>, but we are unable to</w:t>
      </w:r>
      <w:r>
        <w:t xml:space="preserve"> find</w:t>
      </w:r>
      <w:r w:rsidR="00960605">
        <w:t xml:space="preserve"> any</w:t>
      </w:r>
      <w:r>
        <w:t xml:space="preserve"> </w:t>
      </w:r>
      <w:r w:rsidR="00960605">
        <w:t xml:space="preserve">words in </w:t>
      </w:r>
      <w:proofErr w:type="spellStart"/>
      <w:r w:rsidR="00960605">
        <w:t>Rashi</w:t>
      </w:r>
      <w:proofErr w:type="spellEnd"/>
      <w:r w:rsidR="00960605">
        <w:t xml:space="preserve"> which “fit” </w:t>
      </w:r>
      <w:r>
        <w:t>the</w:t>
      </w:r>
      <w:r w:rsidR="00960605">
        <w:t xml:space="preserve"> main part of the picture</w:t>
      </w:r>
      <w:r>
        <w:t xml:space="preserve">. We do not find this picture in any manuscript of </w:t>
      </w:r>
      <w:proofErr w:type="spellStart"/>
      <w:r w:rsidRPr="00B472F7">
        <w:rPr>
          <w:i/>
          <w:iCs/>
        </w:rPr>
        <w:t>Rashi</w:t>
      </w:r>
      <w:proofErr w:type="spellEnd"/>
      <w:r>
        <w:t>,</w:t>
      </w:r>
      <w:r w:rsidR="007C6955">
        <w:t xml:space="preserve"> </w:t>
      </w:r>
      <w:r>
        <w:t xml:space="preserve">nor do we find it in any printed </w:t>
      </w:r>
      <w:proofErr w:type="spellStart"/>
      <w:r w:rsidRPr="00B472F7">
        <w:rPr>
          <w:i/>
          <w:iCs/>
        </w:rPr>
        <w:t>Gemara</w:t>
      </w:r>
      <w:proofErr w:type="spellEnd"/>
      <w:r>
        <w:t xml:space="preserve"> until one which was printed in Amsterdam in 1715.</w:t>
      </w:r>
      <w:r w:rsidR="000A51CE">
        <w:rPr>
          <w:rStyle w:val="EndnoteReference"/>
        </w:rPr>
        <w:endnoteReference w:id="1"/>
      </w:r>
      <w:r>
        <w:t xml:space="preserve">  From this Amsterdam edition, it eventually made its way to the </w:t>
      </w:r>
      <w:proofErr w:type="spellStart"/>
      <w:r w:rsidRPr="00B472F7">
        <w:rPr>
          <w:i/>
          <w:iCs/>
        </w:rPr>
        <w:t>Tzurat</w:t>
      </w:r>
      <w:proofErr w:type="spellEnd"/>
      <w:r w:rsidRPr="00B472F7">
        <w:rPr>
          <w:i/>
          <w:iCs/>
        </w:rPr>
        <w:t xml:space="preserve"> </w:t>
      </w:r>
      <w:proofErr w:type="spellStart"/>
      <w:r w:rsidRPr="00B472F7">
        <w:rPr>
          <w:i/>
          <w:iCs/>
        </w:rPr>
        <w:t>haDaf</w:t>
      </w:r>
      <w:proofErr w:type="spellEnd"/>
      <w:r>
        <w:t xml:space="preserve"> of the Vilna Shas and it is what we see today. </w:t>
      </w:r>
      <w:r w:rsidR="00960605">
        <w:t xml:space="preserve">In </w:t>
      </w:r>
      <w:r w:rsidR="00D85FE7">
        <w:t>many</w:t>
      </w:r>
      <w:r w:rsidR="00960605">
        <w:t xml:space="preserve"> ways, its addition to the actual page of </w:t>
      </w:r>
      <w:proofErr w:type="spellStart"/>
      <w:r w:rsidR="00960605">
        <w:t>Gemara</w:t>
      </w:r>
      <w:proofErr w:type="spellEnd"/>
      <w:r w:rsidR="00960605">
        <w:t xml:space="preserve"> is quite unusual. </w:t>
      </w:r>
    </w:p>
    <w:p w14:paraId="73B5AE6F" w14:textId="797903AF" w:rsidR="00FE7B15" w:rsidRDefault="00FE7B15" w:rsidP="00746B43">
      <w:r>
        <w:t>A close up of the picture in the Vilna Shas (Vilna 1881) and its position on the page</w:t>
      </w:r>
      <w:r w:rsidR="00CE0F28">
        <w:rPr>
          <w:rStyle w:val="EndnoteReference"/>
        </w:rPr>
        <w:endnoteReference w:id="2"/>
      </w:r>
    </w:p>
    <w:p w14:paraId="62A019BA" w14:textId="69754833" w:rsidR="00D26221" w:rsidRDefault="008F38EE" w:rsidP="00746B43">
      <w:hyperlink r:id="rId8" w:history="1">
        <w:r w:rsidR="00D26221">
          <w:rPr>
            <w:rStyle w:val="Hyperlink"/>
          </w:rPr>
          <w:t>https://hebrewbooks.org/pdfpager.aspx?req=14314&amp;st=&amp;pgnum=197</w:t>
        </w:r>
      </w:hyperlink>
    </w:p>
    <w:p w14:paraId="3BED81F1" w14:textId="77777777" w:rsidR="00142497" w:rsidRDefault="00FE7B15" w:rsidP="00142497">
      <w:r>
        <w:rPr>
          <w:noProof/>
        </w:rPr>
        <w:drawing>
          <wp:inline distT="0" distB="0" distL="0" distR="0" wp14:anchorId="6846C9A3" wp14:editId="01E510D9">
            <wp:extent cx="1551061" cy="24302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077" cy="2463201"/>
                    </a:xfrm>
                    <a:prstGeom prst="rect">
                      <a:avLst/>
                    </a:prstGeom>
                    <a:noFill/>
                    <a:ln>
                      <a:noFill/>
                    </a:ln>
                  </pic:spPr>
                </pic:pic>
              </a:graphicData>
            </a:graphic>
          </wp:inline>
        </w:drawing>
      </w:r>
      <w:r>
        <w:rPr>
          <w:noProof/>
        </w:rPr>
        <w:drawing>
          <wp:inline distT="0" distB="0" distL="0" distR="0" wp14:anchorId="1C120043" wp14:editId="62E2B55E">
            <wp:extent cx="4202613" cy="20002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737" cy="2046034"/>
                    </a:xfrm>
                    <a:prstGeom prst="rect">
                      <a:avLst/>
                    </a:prstGeom>
                    <a:noFill/>
                    <a:ln>
                      <a:noFill/>
                    </a:ln>
                  </pic:spPr>
                </pic:pic>
              </a:graphicData>
            </a:graphic>
          </wp:inline>
        </w:drawing>
      </w:r>
    </w:p>
    <w:p w14:paraId="7FF6565B" w14:textId="02709C06" w:rsidR="00FE7B15" w:rsidRDefault="00FE7B15" w:rsidP="00746B43"/>
    <w:p w14:paraId="0E226738" w14:textId="3B39DE88" w:rsidR="00594BC4" w:rsidRDefault="00594BC4" w:rsidP="00D85FE7">
      <w:r>
        <w:t>The</w:t>
      </w:r>
      <w:r w:rsidRPr="00B472F7">
        <w:rPr>
          <w:i/>
          <w:iCs/>
        </w:rPr>
        <w:t xml:space="preserve"> </w:t>
      </w:r>
      <w:proofErr w:type="spellStart"/>
      <w:r w:rsidRPr="00B472F7">
        <w:rPr>
          <w:i/>
          <w:iCs/>
        </w:rPr>
        <w:t>Gemara</w:t>
      </w:r>
      <w:proofErr w:type="spellEnd"/>
      <w:r>
        <w:t xml:space="preserve"> in </w:t>
      </w:r>
      <w:proofErr w:type="spellStart"/>
      <w:r w:rsidRPr="00B472F7">
        <w:rPr>
          <w:i/>
          <w:iCs/>
        </w:rPr>
        <w:t>Masechet</w:t>
      </w:r>
      <w:proofErr w:type="spellEnd"/>
      <w:r w:rsidRPr="00B472F7">
        <w:rPr>
          <w:i/>
          <w:iCs/>
        </w:rPr>
        <w:t xml:space="preserve"> Shabbat</w:t>
      </w:r>
      <w:r>
        <w:t xml:space="preserve"> on </w:t>
      </w:r>
      <w:proofErr w:type="spellStart"/>
      <w:r w:rsidRPr="00B472F7">
        <w:rPr>
          <w:i/>
          <w:iCs/>
        </w:rPr>
        <w:t>Daf</w:t>
      </w:r>
      <w:proofErr w:type="spellEnd"/>
      <w:r>
        <w:t xml:space="preserve"> 98a and b deals with the laws of carrying, by discussing some of the details of the boards</w:t>
      </w:r>
      <w:r w:rsidR="00D26221">
        <w:t xml:space="preserve"> (</w:t>
      </w:r>
      <w:r w:rsidR="00D26221" w:rsidRPr="00D26221">
        <w:t>"</w:t>
      </w:r>
      <w:r w:rsidR="00D26221" w:rsidRPr="00D26221">
        <w:rPr>
          <w:rFonts w:cs="Arial"/>
          <w:rtl/>
          <w:lang w:bidi="he-IL"/>
        </w:rPr>
        <w:t>קרשים</w:t>
      </w:r>
      <w:r w:rsidR="00D26221" w:rsidRPr="00D26221">
        <w:t>"</w:t>
      </w:r>
      <w:r w:rsidR="00D26221">
        <w:t>)</w:t>
      </w:r>
      <w:r>
        <w:t xml:space="preserve"> which made up the walls of the </w:t>
      </w:r>
      <w:proofErr w:type="spellStart"/>
      <w:r w:rsidRPr="00B472F7">
        <w:rPr>
          <w:i/>
          <w:iCs/>
        </w:rPr>
        <w:t>Mishkan</w:t>
      </w:r>
      <w:proofErr w:type="spellEnd"/>
      <w:r>
        <w:t>.</w:t>
      </w:r>
      <w:r>
        <w:rPr>
          <w:rStyle w:val="EndnoteReference"/>
        </w:rPr>
        <w:endnoteReference w:id="3"/>
      </w:r>
      <w:r>
        <w:t xml:space="preserve"> To understand this discussion, it would help to be able to picture what each board looked like.  Manuscripts of </w:t>
      </w:r>
      <w:proofErr w:type="spellStart"/>
      <w:r w:rsidRPr="00B472F7">
        <w:rPr>
          <w:i/>
          <w:iCs/>
        </w:rPr>
        <w:t>Gemarot</w:t>
      </w:r>
      <w:proofErr w:type="spellEnd"/>
      <w:r>
        <w:t xml:space="preserve"> though generally do not contain pictures, and a check on the invaluable website “</w:t>
      </w:r>
      <w:proofErr w:type="spellStart"/>
      <w:r>
        <w:t>Hachi</w:t>
      </w:r>
      <w:proofErr w:type="spellEnd"/>
      <w:r>
        <w:t xml:space="preserve"> </w:t>
      </w:r>
      <w:proofErr w:type="spellStart"/>
      <w:r>
        <w:t>Garsinan</w:t>
      </w:r>
      <w:proofErr w:type="spellEnd"/>
      <w:r>
        <w:t>” shows that no manuscript of these pages has a picture to illustrate what a board looked like.</w:t>
      </w:r>
      <w:r>
        <w:rPr>
          <w:rStyle w:val="EndnoteReference"/>
        </w:rPr>
        <w:endnoteReference w:id="4"/>
      </w:r>
      <w:r>
        <w:t xml:space="preserve"> One might expect </w:t>
      </w:r>
      <w:proofErr w:type="spellStart"/>
      <w:r w:rsidRPr="00B472F7">
        <w:rPr>
          <w:i/>
          <w:iCs/>
        </w:rPr>
        <w:t>Rashi</w:t>
      </w:r>
      <w:proofErr w:type="spellEnd"/>
      <w:r w:rsidRPr="00B472F7">
        <w:rPr>
          <w:i/>
          <w:iCs/>
        </w:rPr>
        <w:t xml:space="preserve"> </w:t>
      </w:r>
      <w:r>
        <w:t xml:space="preserve">in his description of some of the statements of the </w:t>
      </w:r>
      <w:proofErr w:type="spellStart"/>
      <w:r w:rsidRPr="00B472F7">
        <w:rPr>
          <w:i/>
          <w:iCs/>
        </w:rPr>
        <w:t>Gemara</w:t>
      </w:r>
      <w:proofErr w:type="spellEnd"/>
      <w:r>
        <w:t xml:space="preserve"> to state his opinion and then write </w:t>
      </w:r>
      <w:r w:rsidR="00D85FE7" w:rsidRPr="00D85FE7">
        <w:t>"</w:t>
      </w:r>
      <w:r w:rsidR="00D85FE7" w:rsidRPr="00D85FE7">
        <w:rPr>
          <w:rFonts w:cs="Arial"/>
          <w:rtl/>
          <w:lang w:bidi="he-IL"/>
        </w:rPr>
        <w:t>כזה</w:t>
      </w:r>
      <w:r w:rsidR="00D85FE7" w:rsidRPr="00D85FE7">
        <w:t>"</w:t>
      </w:r>
      <w:r w:rsidR="0027472F">
        <w:t>.</w:t>
      </w:r>
      <w:r>
        <w:t xml:space="preserve"> Then we could expect to find an illustration in any of the number of </w:t>
      </w:r>
      <w:proofErr w:type="spellStart"/>
      <w:r w:rsidRPr="00B472F7">
        <w:rPr>
          <w:i/>
          <w:iCs/>
        </w:rPr>
        <w:t>Rashi</w:t>
      </w:r>
      <w:proofErr w:type="spellEnd"/>
      <w:r>
        <w:t xml:space="preserve"> manuscripts we have, and we could expect that this illustration (or an empty space for it) would appear in subsequent printed editions. Here we have none. </w:t>
      </w:r>
      <w:r>
        <w:rPr>
          <w:rStyle w:val="EndnoteReference"/>
        </w:rPr>
        <w:endnoteReference w:id="5"/>
      </w:r>
      <w:r>
        <w:t xml:space="preserve"> </w:t>
      </w:r>
    </w:p>
    <w:p w14:paraId="46E0F4AB" w14:textId="0FFB8370" w:rsidR="00EE4612" w:rsidRDefault="00B45A9E" w:rsidP="00C513D8">
      <w:r>
        <w:lastRenderedPageBreak/>
        <w:t>It seems to have appeared out of nowhere</w:t>
      </w:r>
      <w:r w:rsidR="00E93813">
        <w:t xml:space="preserve"> on </w:t>
      </w:r>
      <w:proofErr w:type="spellStart"/>
      <w:r w:rsidR="00E93813">
        <w:t>Daf</w:t>
      </w:r>
      <w:proofErr w:type="spellEnd"/>
      <w:r w:rsidR="00E93813">
        <w:t xml:space="preserve"> 98b in </w:t>
      </w:r>
      <w:proofErr w:type="spellStart"/>
      <w:r w:rsidR="00E93813">
        <w:t>Masechet</w:t>
      </w:r>
      <w:proofErr w:type="spellEnd"/>
      <w:r w:rsidR="00E93813">
        <w:t xml:space="preserve"> Shabbat</w:t>
      </w:r>
      <w:r>
        <w:t xml:space="preserve"> in an edition of the Talmud printed in Amsterdam in 1715</w:t>
      </w:r>
      <w:r w:rsidR="00EE4612">
        <w:t>.</w:t>
      </w:r>
      <w:r w:rsidR="00EB239F">
        <w:rPr>
          <w:rStyle w:val="EndnoteReference"/>
        </w:rPr>
        <w:endnoteReference w:id="6"/>
      </w:r>
      <w:r w:rsidR="00EE4612">
        <w:t xml:space="preserve"> As you can see, the rendering in the Vilna Shas is very close to the one from Amsterdam.</w:t>
      </w:r>
    </w:p>
    <w:p w14:paraId="018979B7" w14:textId="0ED5DA45" w:rsidR="00E93813" w:rsidRDefault="00F66EE6" w:rsidP="00E93813">
      <w:r>
        <w:rPr>
          <w:noProof/>
        </w:rPr>
        <w:drawing>
          <wp:inline distT="0" distB="0" distL="0" distR="0" wp14:anchorId="6FAF2F60" wp14:editId="48ACA518">
            <wp:extent cx="4342710" cy="21558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7889" cy="2168304"/>
                    </a:xfrm>
                    <a:prstGeom prst="rect">
                      <a:avLst/>
                    </a:prstGeom>
                    <a:noFill/>
                    <a:ln>
                      <a:noFill/>
                    </a:ln>
                  </pic:spPr>
                </pic:pic>
              </a:graphicData>
            </a:graphic>
          </wp:inline>
        </w:drawing>
      </w:r>
      <w:r w:rsidR="00C513D8">
        <w:rPr>
          <w:noProof/>
        </w:rPr>
        <w:drawing>
          <wp:inline distT="0" distB="0" distL="0" distR="0" wp14:anchorId="5A6B4F2C" wp14:editId="5758C53A">
            <wp:extent cx="1100960" cy="172503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013" cy="1736085"/>
                    </a:xfrm>
                    <a:prstGeom prst="rect">
                      <a:avLst/>
                    </a:prstGeom>
                    <a:noFill/>
                    <a:ln>
                      <a:noFill/>
                    </a:ln>
                  </pic:spPr>
                </pic:pic>
              </a:graphicData>
            </a:graphic>
          </wp:inline>
        </w:drawing>
      </w:r>
    </w:p>
    <w:p w14:paraId="32DEA399" w14:textId="0D9AFDDD" w:rsidR="00C513D8" w:rsidRDefault="00C513D8" w:rsidP="009639F0">
      <w:r>
        <w:t xml:space="preserve">                 Amsterdam Shas 1715 </w:t>
      </w:r>
      <w:r w:rsidR="00D85FE7">
        <w:t xml:space="preserve">(Google </w:t>
      </w:r>
      <w:proofErr w:type="gramStart"/>
      <w:r w:rsidR="00D85FE7">
        <w:t>books)</w:t>
      </w:r>
      <w:r>
        <w:t xml:space="preserve">   </w:t>
      </w:r>
      <w:proofErr w:type="gramEnd"/>
      <w:r>
        <w:t xml:space="preserve">                          </w:t>
      </w:r>
      <w:r w:rsidR="00AB6FA7">
        <w:t xml:space="preserve">                      </w:t>
      </w:r>
      <w:r w:rsidR="00F66EE6">
        <w:t xml:space="preserve">     </w:t>
      </w:r>
      <w:r w:rsidR="00AB6FA7">
        <w:t xml:space="preserve"> </w:t>
      </w:r>
      <w:r>
        <w:t>Vilna Shas 1881</w:t>
      </w:r>
    </w:p>
    <w:p w14:paraId="2E9B1725" w14:textId="11A0747B" w:rsidR="00C513D8" w:rsidRDefault="008F38EE" w:rsidP="00E93813">
      <w:hyperlink r:id="rId12" w:anchor="v=onepage&amp;q=%D7%94%D7%AA%D7%99%D7%9B%D7%95%D7%9F%20%D7%91%D7%AA%D7%95%D7%9A%20%D7%94%D7%A7%D7%A8%D7%A9%D7%99%D7%9D%20&amp;f=false" w:history="1">
        <w:r w:rsidR="00F66EE6">
          <w:rPr>
            <w:rStyle w:val="Hyperlink"/>
          </w:rPr>
          <w:t>https://books.google.com/books?id=id9jAAAAcAAJ&amp;printsec=frontcover&amp;source=gbs_ge_summary_r&amp;cad=0#v=onepage&amp;q=%D7%94%D7%AA%D7%99%D7%9B%D7%95%D7%9F%20%D7%91%D7%AA%D7%95%D7%9A%20%D7%94%D7%A7%D7%A8%D7%A9%D7%99%D7%9D%20&amp;f=false</w:t>
        </w:r>
      </w:hyperlink>
    </w:p>
    <w:p w14:paraId="739F2953" w14:textId="77777777" w:rsidR="00594BC4" w:rsidRDefault="00594BC4" w:rsidP="00594BC4">
      <w:r>
        <w:t xml:space="preserve">It is trying to illustrate two statements of the </w:t>
      </w:r>
      <w:proofErr w:type="spellStart"/>
      <w:r w:rsidRPr="00B472F7">
        <w:rPr>
          <w:i/>
          <w:iCs/>
        </w:rPr>
        <w:t>Gemara</w:t>
      </w:r>
      <w:proofErr w:type="spellEnd"/>
      <w:r>
        <w:t xml:space="preserve">, one in the middle of the </w:t>
      </w:r>
      <w:proofErr w:type="spellStart"/>
      <w:r w:rsidRPr="00B472F7">
        <w:rPr>
          <w:i/>
          <w:iCs/>
        </w:rPr>
        <w:t>Daf</w:t>
      </w:r>
      <w:proofErr w:type="spellEnd"/>
      <w:r>
        <w:t xml:space="preserve"> and one at the very bottom. </w:t>
      </w:r>
    </w:p>
    <w:p w14:paraId="3C0138E2" w14:textId="1072492B" w:rsidR="00594BC4" w:rsidRDefault="00594BC4" w:rsidP="00594BC4">
      <w:pPr>
        <w:pStyle w:val="ListParagraph"/>
        <w:numPr>
          <w:ilvl w:val="0"/>
          <w:numId w:val="1"/>
        </w:numPr>
      </w:pPr>
      <w:r w:rsidRPr="00530829">
        <w:t>"</w:t>
      </w:r>
      <w:r w:rsidRPr="00530829">
        <w:rPr>
          <w:rFonts w:cs="Arial"/>
          <w:rtl/>
          <w:lang w:bidi="he-IL"/>
        </w:rPr>
        <w:t>והבריח התיכ</w:t>
      </w:r>
      <w:r w:rsidR="00935A8D" w:rsidRPr="00530829">
        <w:rPr>
          <w:rFonts w:cs="Arial"/>
          <w:rtl/>
          <w:lang w:bidi="he-IL"/>
        </w:rPr>
        <w:t>ו</w:t>
      </w:r>
      <w:r w:rsidRPr="00530829">
        <w:rPr>
          <w:rFonts w:cs="Arial"/>
          <w:rtl/>
          <w:lang w:bidi="he-IL"/>
        </w:rPr>
        <w:t>ן בתוך הקרשים תנא בנס היה עומד</w:t>
      </w:r>
      <w:r w:rsidRPr="00530829">
        <w:t xml:space="preserve">" </w:t>
      </w:r>
      <w:r>
        <w:t>- “</w:t>
      </w:r>
      <w:r w:rsidRPr="0085451B">
        <w:t>The middle bar in the middle of the beams passed through them and stood mirac</w:t>
      </w:r>
      <w:r>
        <w:t>ulously</w:t>
      </w:r>
      <w:r w:rsidR="00D85FE7">
        <w:t>”</w:t>
      </w:r>
      <w:r>
        <w:t>.</w:t>
      </w:r>
      <w:r w:rsidR="00D85FE7">
        <w:t xml:space="preserve"> </w:t>
      </w:r>
      <w:r>
        <w:t xml:space="preserve">This means that the middle bar </w:t>
      </w:r>
      <w:r w:rsidR="00D85FE7">
        <w:t>(</w:t>
      </w:r>
      <w:r w:rsidR="00D85FE7" w:rsidRPr="00530829">
        <w:rPr>
          <w:rFonts w:cs="Arial"/>
          <w:rtl/>
          <w:lang w:bidi="he-IL"/>
        </w:rPr>
        <w:t>הבריח התיכון</w:t>
      </w:r>
      <w:r w:rsidR="00D85FE7">
        <w:rPr>
          <w:rFonts w:cs="Arial"/>
          <w:lang w:bidi="he-IL"/>
        </w:rPr>
        <w:t xml:space="preserve">) </w:t>
      </w:r>
      <w:r>
        <w:t xml:space="preserve">which connected the beams all around, was inserted in the “thickness” part of the beams </w:t>
      </w:r>
      <w:r w:rsidR="00CF6574">
        <w:t xml:space="preserve">           </w:t>
      </w:r>
      <w:proofErr w:type="gramStart"/>
      <w:r w:rsidR="00CF6574">
        <w:t xml:space="preserve">   (</w:t>
      </w:r>
      <w:proofErr w:type="gramEnd"/>
      <w:r w:rsidR="00CF6574" w:rsidRPr="00CF6574">
        <w:t>"</w:t>
      </w:r>
      <w:r w:rsidR="00CF6574" w:rsidRPr="00CF6574">
        <w:rPr>
          <w:rFonts w:cs="Arial"/>
          <w:rtl/>
          <w:lang w:bidi="he-IL"/>
        </w:rPr>
        <w:t>עובי הקרש</w:t>
      </w:r>
      <w:r w:rsidR="00CF6574" w:rsidRPr="00CF6574">
        <w:t>"</w:t>
      </w:r>
      <w:r w:rsidR="00CF6574">
        <w:t xml:space="preserve">) </w:t>
      </w:r>
      <w:r>
        <w:t xml:space="preserve">and made its way miraculously around the corners of the walls. </w:t>
      </w:r>
    </w:p>
    <w:p w14:paraId="15F006F4" w14:textId="77777777" w:rsidR="00594BC4" w:rsidRDefault="00594BC4" w:rsidP="00594BC4">
      <w:pPr>
        <w:pStyle w:val="ListParagraph"/>
        <w:numPr>
          <w:ilvl w:val="0"/>
          <w:numId w:val="1"/>
        </w:numPr>
      </w:pPr>
      <w:r w:rsidRPr="00530829">
        <w:t>"</w:t>
      </w:r>
      <w:r w:rsidRPr="00530829">
        <w:rPr>
          <w:rFonts w:cs="Arial"/>
          <w:rtl/>
          <w:lang w:bidi="he-IL"/>
        </w:rPr>
        <w:t>תנו רבנן חרוצים היו קרשים וחלולים היו האדנים</w:t>
      </w:r>
      <w:r w:rsidRPr="00530829">
        <w:t xml:space="preserve">" </w:t>
      </w:r>
      <w:r>
        <w:t>- “The Sages taught, t</w:t>
      </w:r>
      <w:r w:rsidRPr="00F9702D">
        <w:t>he bottoms of the beams (</w:t>
      </w:r>
      <w:proofErr w:type="spellStart"/>
      <w:r w:rsidRPr="00B472F7">
        <w:rPr>
          <w:i/>
          <w:iCs/>
        </w:rPr>
        <w:t>Kerashim</w:t>
      </w:r>
      <w:proofErr w:type="spellEnd"/>
      <w:r w:rsidRPr="00F9702D">
        <w:t>)were grooved and the sockets were hollow.</w:t>
      </w:r>
      <w:r>
        <w:t xml:space="preserve">” This deals with a completely different aspect of the beams which is how they were shaped on the bottom (and only according to Rabbi </w:t>
      </w:r>
      <w:proofErr w:type="spellStart"/>
      <w:r w:rsidRPr="00B472F7">
        <w:rPr>
          <w:i/>
          <w:iCs/>
        </w:rPr>
        <w:t>Nechemya</w:t>
      </w:r>
      <w:proofErr w:type="spellEnd"/>
      <w:r>
        <w:t>)</w:t>
      </w:r>
    </w:p>
    <w:p w14:paraId="440F94D5" w14:textId="3A32BCE6" w:rsidR="0085451B" w:rsidRDefault="007C6955" w:rsidP="00E93813">
      <w:r>
        <w:rPr>
          <w:noProof/>
        </w:rPr>
        <w:drawing>
          <wp:inline distT="0" distB="0" distL="0" distR="0" wp14:anchorId="47859022" wp14:editId="69F73440">
            <wp:extent cx="1100960" cy="17250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013" cy="1736085"/>
                    </a:xfrm>
                    <a:prstGeom prst="rect">
                      <a:avLst/>
                    </a:prstGeom>
                    <a:noFill/>
                    <a:ln>
                      <a:noFill/>
                    </a:ln>
                  </pic:spPr>
                </pic:pic>
              </a:graphicData>
            </a:graphic>
          </wp:inline>
        </w:drawing>
      </w:r>
    </w:p>
    <w:p w14:paraId="5361E9E5" w14:textId="496EBD68" w:rsidR="007C6955" w:rsidRDefault="007C6955" w:rsidP="007C6955">
      <w:r>
        <w:lastRenderedPageBreak/>
        <w:t xml:space="preserve">The picture in the Vilna Shas </w:t>
      </w:r>
      <w:r w:rsidR="00CE0F28">
        <w:t xml:space="preserve">primarily </w:t>
      </w:r>
      <w:r w:rsidR="00D26221">
        <w:t xml:space="preserve">shows </w:t>
      </w:r>
      <w:r>
        <w:t>that there were three rods (</w:t>
      </w:r>
      <w:r w:rsidR="00CE0F28">
        <w:t>“</w:t>
      </w:r>
      <w:r w:rsidR="00CE0F28" w:rsidRPr="00CE0F28">
        <w:rPr>
          <w:rFonts w:cs="Arial"/>
          <w:rtl/>
          <w:lang w:bidi="he-IL"/>
        </w:rPr>
        <w:t>בריחים</w:t>
      </w:r>
      <w:r w:rsidR="00CE0F28">
        <w:rPr>
          <w:rFonts w:cs="Arial"/>
          <w:lang w:bidi="he-IL"/>
        </w:rPr>
        <w:t>”</w:t>
      </w:r>
      <w:r>
        <w:t xml:space="preserve">) </w:t>
      </w:r>
      <w:r w:rsidR="0027472F">
        <w:t>which</w:t>
      </w:r>
      <w:r>
        <w:t xml:space="preserve"> connected one board to the next. The rods on the top and bottom went through outer rings, but the rod in the middle went through the width of the board.</w:t>
      </w:r>
      <w:r w:rsidR="00DA14F9">
        <w:t>(</w:t>
      </w:r>
      <w:r w:rsidR="00DA14F9" w:rsidRPr="00DA14F9">
        <w:t xml:space="preserve"> "</w:t>
      </w:r>
      <w:r w:rsidR="00DA14F9" w:rsidRPr="00DA14F9">
        <w:rPr>
          <w:rFonts w:cs="Arial"/>
          <w:rtl/>
          <w:lang w:bidi="he-IL"/>
        </w:rPr>
        <w:t>עובי הקרש</w:t>
      </w:r>
      <w:r w:rsidR="00DA14F9" w:rsidRPr="00DA14F9">
        <w:t>"</w:t>
      </w:r>
      <w:r w:rsidR="00DA14F9">
        <w:t>)</w:t>
      </w:r>
      <w:r>
        <w:t xml:space="preserve"> It also shows the sockets on the bottom (</w:t>
      </w:r>
      <w:r w:rsidR="00CE0F28" w:rsidRPr="00CE0F28">
        <w:t>"</w:t>
      </w:r>
      <w:r w:rsidR="00CE0F28" w:rsidRPr="00CE0F28">
        <w:rPr>
          <w:rFonts w:cs="Arial"/>
          <w:rtl/>
          <w:lang w:bidi="he-IL"/>
        </w:rPr>
        <w:t>אדנים</w:t>
      </w:r>
      <w:r w:rsidR="00CE0F28" w:rsidRPr="00CE0F28">
        <w:t>"</w:t>
      </w:r>
      <w:r>
        <w:t>) and the grooves (</w:t>
      </w:r>
      <w:r w:rsidR="00CE0F28" w:rsidRPr="00CE0F28">
        <w:t>"</w:t>
      </w:r>
      <w:r w:rsidR="00CE0F28" w:rsidRPr="00CE0F28">
        <w:rPr>
          <w:rFonts w:cs="Arial"/>
          <w:rtl/>
          <w:lang w:bidi="he-IL"/>
        </w:rPr>
        <w:t>ידות</w:t>
      </w:r>
      <w:r w:rsidR="00CE0F28" w:rsidRPr="00CE0F28">
        <w:t>"</w:t>
      </w:r>
      <w:r>
        <w:t xml:space="preserve">) inserted in them which provided stability to the boards as they stood. </w:t>
      </w:r>
    </w:p>
    <w:p w14:paraId="5FE19BC5" w14:textId="540E9D31" w:rsidR="007C6955" w:rsidRDefault="00CE754C" w:rsidP="007C6955">
      <w:r w:rsidRPr="00992CEE">
        <w:t xml:space="preserve">I asked a number of people which </w:t>
      </w:r>
      <w:proofErr w:type="spellStart"/>
      <w:r w:rsidRPr="00992CEE">
        <w:t>Rashi</w:t>
      </w:r>
      <w:proofErr w:type="spellEnd"/>
      <w:r w:rsidRPr="00992CEE">
        <w:t xml:space="preserve"> they thought this picture illustrates and</w:t>
      </w:r>
      <w:r w:rsidR="00CF6574">
        <w:t>,</w:t>
      </w:r>
      <w:r w:rsidRPr="00992CEE">
        <w:t xml:space="preserve"> </w:t>
      </w:r>
      <w:r w:rsidR="00CF6574">
        <w:t xml:space="preserve">because of its placement on the page, </w:t>
      </w:r>
      <w:r w:rsidRPr="00992CEE">
        <w:t xml:space="preserve">all said </w:t>
      </w:r>
      <w:r w:rsidRPr="00992CEE">
        <w:rPr>
          <w:rFonts w:cs="Arial"/>
          <w:rtl/>
          <w:lang w:bidi="he-IL"/>
        </w:rPr>
        <w:t>בנס היה עומד</w:t>
      </w:r>
      <w:r w:rsidRPr="00992CEE">
        <w:rPr>
          <w:rFonts w:cs="Arial"/>
          <w:lang w:bidi="he-IL"/>
        </w:rPr>
        <w:t xml:space="preserve">. </w:t>
      </w:r>
      <w:r w:rsidR="00A33DF1">
        <w:rPr>
          <w:rStyle w:val="EndnoteReference"/>
          <w:rFonts w:cs="Arial"/>
          <w:lang w:bidi="he-IL"/>
        </w:rPr>
        <w:endnoteReference w:id="7"/>
      </w:r>
      <w:r w:rsidRPr="00992CEE">
        <w:rPr>
          <w:rFonts w:cs="Arial"/>
          <w:lang w:bidi="he-IL"/>
        </w:rPr>
        <w:t xml:space="preserve">However, if you look at that </w:t>
      </w:r>
      <w:proofErr w:type="spellStart"/>
      <w:r w:rsidRPr="00992CEE">
        <w:rPr>
          <w:rFonts w:cs="Arial"/>
          <w:lang w:bidi="he-IL"/>
        </w:rPr>
        <w:t>Rashi</w:t>
      </w:r>
      <w:proofErr w:type="spellEnd"/>
      <w:r w:rsidRPr="00992CEE">
        <w:rPr>
          <w:rFonts w:cs="Arial"/>
          <w:lang w:bidi="he-IL"/>
        </w:rPr>
        <w:t xml:space="preserve">, it does not speak about the fact that the middle rod went through the thickness of the board, but rather the miraculous nature of how the rod bent as it turned the corner. This picture illustrates mostly the statement </w:t>
      </w:r>
      <w:r w:rsidRPr="00992CEE">
        <w:rPr>
          <w:rFonts w:cs="Arial"/>
          <w:rtl/>
          <w:lang w:bidi="he-IL"/>
        </w:rPr>
        <w:t xml:space="preserve">הבריח התיכן בתוך </w:t>
      </w:r>
      <w:proofErr w:type="gramStart"/>
      <w:r w:rsidRPr="00992CEE">
        <w:rPr>
          <w:rFonts w:cs="Arial"/>
          <w:rtl/>
          <w:lang w:bidi="he-IL"/>
        </w:rPr>
        <w:t xml:space="preserve">הקרשים </w:t>
      </w:r>
      <w:r w:rsidRPr="00992CEE">
        <w:rPr>
          <w:rFonts w:cs="Arial"/>
          <w:lang w:bidi="he-IL"/>
        </w:rPr>
        <w:t xml:space="preserve"> on</w:t>
      </w:r>
      <w:proofErr w:type="gramEnd"/>
      <w:r w:rsidRPr="00992CEE">
        <w:rPr>
          <w:rFonts w:cs="Arial"/>
          <w:lang w:bidi="he-IL"/>
        </w:rPr>
        <w:t xml:space="preserve"> which </w:t>
      </w:r>
      <w:proofErr w:type="spellStart"/>
      <w:r w:rsidRPr="00992CEE">
        <w:rPr>
          <w:rFonts w:cs="Arial"/>
          <w:lang w:bidi="he-IL"/>
        </w:rPr>
        <w:t>Rashi</w:t>
      </w:r>
      <w:proofErr w:type="spellEnd"/>
      <w:r w:rsidRPr="00992CEE">
        <w:rPr>
          <w:rFonts w:cs="Arial"/>
          <w:lang w:bidi="he-IL"/>
        </w:rPr>
        <w:t xml:space="preserve"> does not comment.</w:t>
      </w:r>
      <w:r w:rsidR="00A33DF1" w:rsidRPr="00992CEE">
        <w:rPr>
          <w:rFonts w:cs="Arial"/>
          <w:lang w:bidi="he-IL"/>
        </w:rPr>
        <w:t xml:space="preserve"> </w:t>
      </w:r>
      <w:r w:rsidRPr="00992CEE">
        <w:rPr>
          <w:rFonts w:cs="Arial"/>
          <w:lang w:bidi="he-IL"/>
        </w:rPr>
        <w:t xml:space="preserve">Also, it does not explain why there is such detail on the bottom of the picture showing the grooves going into the base. </w:t>
      </w:r>
      <w:r w:rsidR="007C6955">
        <w:t xml:space="preserve">It is a very helpful picture but its origin in unclear and its placement on the page is misleading. </w:t>
      </w:r>
    </w:p>
    <w:p w14:paraId="21908949" w14:textId="1F0DA38C" w:rsidR="00DD78DC" w:rsidRDefault="00DD78DC" w:rsidP="007C6955">
      <w:pPr>
        <w:rPr>
          <w:rFonts w:cs="Arial"/>
          <w:lang w:bidi="he-IL"/>
        </w:rPr>
      </w:pPr>
      <w:r>
        <w:t xml:space="preserve">The </w:t>
      </w:r>
      <w:proofErr w:type="spellStart"/>
      <w:r>
        <w:t>Mesivta</w:t>
      </w:r>
      <w:proofErr w:type="spellEnd"/>
      <w:r>
        <w:t xml:space="preserve"> edition of Oz </w:t>
      </w:r>
      <w:proofErr w:type="spellStart"/>
      <w:r>
        <w:t>Vehadar</w:t>
      </w:r>
      <w:proofErr w:type="spellEnd"/>
      <w:r>
        <w:t xml:space="preserve"> also understands that this picture illustrates the words </w:t>
      </w:r>
      <w:r w:rsidRPr="00530829">
        <w:rPr>
          <w:rFonts w:cs="Arial"/>
          <w:rtl/>
          <w:lang w:bidi="he-IL"/>
        </w:rPr>
        <w:t>והבריח התיכון בתוך הקרשים</w:t>
      </w:r>
      <w:r>
        <w:rPr>
          <w:rFonts w:cs="Arial"/>
          <w:lang w:bidi="he-IL"/>
        </w:rPr>
        <w:t xml:space="preserve">. They indicate that </w:t>
      </w:r>
      <w:proofErr w:type="spellStart"/>
      <w:r>
        <w:rPr>
          <w:rFonts w:cs="Arial"/>
          <w:lang w:bidi="he-IL"/>
        </w:rPr>
        <w:t>Tziyur</w:t>
      </w:r>
      <w:proofErr w:type="spellEnd"/>
      <w:r>
        <w:rPr>
          <w:rFonts w:cs="Arial"/>
          <w:lang w:bidi="he-IL"/>
        </w:rPr>
        <w:t xml:space="preserve"> 6 which</w:t>
      </w:r>
      <w:r w:rsidR="00AB6FA7">
        <w:rPr>
          <w:rFonts w:cs="Arial"/>
          <w:lang w:bidi="he-IL"/>
        </w:rPr>
        <w:t xml:space="preserve"> </w:t>
      </w:r>
      <w:r>
        <w:rPr>
          <w:rFonts w:cs="Arial"/>
          <w:lang w:bidi="he-IL"/>
        </w:rPr>
        <w:t>except for the detail on the bottom looks very similar to the one in the Vilna Shas, illustrates that statement.</w:t>
      </w:r>
    </w:p>
    <w:p w14:paraId="1A6E1726" w14:textId="574D02DF" w:rsidR="00DD78DC" w:rsidRDefault="00DD78DC" w:rsidP="007C6955">
      <w:r>
        <w:rPr>
          <w:noProof/>
        </w:rPr>
        <w:drawing>
          <wp:inline distT="0" distB="0" distL="0" distR="0" wp14:anchorId="40EDB350" wp14:editId="590932C6">
            <wp:extent cx="5943600" cy="1344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344930"/>
                    </a:xfrm>
                    <a:prstGeom prst="rect">
                      <a:avLst/>
                    </a:prstGeom>
                    <a:noFill/>
                    <a:ln>
                      <a:noFill/>
                    </a:ln>
                  </pic:spPr>
                </pic:pic>
              </a:graphicData>
            </a:graphic>
          </wp:inline>
        </w:drawing>
      </w:r>
    </w:p>
    <w:p w14:paraId="62D9D8A0" w14:textId="51DC2B33" w:rsidR="00CE754C" w:rsidRPr="00992CEE" w:rsidRDefault="00DD78DC" w:rsidP="007C6955">
      <w:pPr>
        <w:pStyle w:val="EndnoteText"/>
        <w:rPr>
          <w:rFonts w:cs="Arial"/>
          <w:sz w:val="22"/>
          <w:szCs w:val="22"/>
          <w:lang w:bidi="he-IL"/>
        </w:rPr>
      </w:pPr>
      <w:r>
        <w:rPr>
          <w:noProof/>
        </w:rPr>
        <w:drawing>
          <wp:inline distT="0" distB="0" distL="0" distR="0" wp14:anchorId="31339ED4" wp14:editId="378DC054">
            <wp:extent cx="1473797" cy="3072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1129" cy="3088052"/>
                    </a:xfrm>
                    <a:prstGeom prst="rect">
                      <a:avLst/>
                    </a:prstGeom>
                    <a:noFill/>
                    <a:ln>
                      <a:noFill/>
                    </a:ln>
                  </pic:spPr>
                </pic:pic>
              </a:graphicData>
            </a:graphic>
          </wp:inline>
        </w:drawing>
      </w:r>
      <w:r>
        <w:rPr>
          <w:rFonts w:cs="Arial"/>
          <w:sz w:val="22"/>
          <w:szCs w:val="22"/>
          <w:lang w:bidi="he-IL"/>
        </w:rPr>
        <w:t xml:space="preserve">    </w:t>
      </w:r>
      <w:r>
        <w:rPr>
          <w:noProof/>
        </w:rPr>
        <w:drawing>
          <wp:inline distT="0" distB="0" distL="0" distR="0" wp14:anchorId="06723592" wp14:editId="594E1649">
            <wp:extent cx="1762125" cy="27609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511" cy="2805454"/>
                    </a:xfrm>
                    <a:prstGeom prst="rect">
                      <a:avLst/>
                    </a:prstGeom>
                    <a:noFill/>
                    <a:ln>
                      <a:noFill/>
                    </a:ln>
                  </pic:spPr>
                </pic:pic>
              </a:graphicData>
            </a:graphic>
          </wp:inline>
        </w:drawing>
      </w:r>
    </w:p>
    <w:p w14:paraId="197CBCCA" w14:textId="77777777" w:rsidR="0027472F" w:rsidRDefault="0027472F" w:rsidP="00746B43"/>
    <w:p w14:paraId="7F576141" w14:textId="386518FF" w:rsidR="00B553B3" w:rsidRDefault="00B553B3" w:rsidP="00746B43">
      <w:r>
        <w:lastRenderedPageBreak/>
        <w:t xml:space="preserve">Why did the editors of the Amsterdam 1715 Shas insert a picture like this? Perhaps they were inspired by diagrams that appeared in a book called </w:t>
      </w:r>
      <w:proofErr w:type="spellStart"/>
      <w:r>
        <w:t>Omek</w:t>
      </w:r>
      <w:proofErr w:type="spellEnd"/>
      <w:r>
        <w:t xml:space="preserve"> Halacha </w:t>
      </w:r>
      <w:r w:rsidR="00C723D9">
        <w:t xml:space="preserve">by Jacob ben Simcha Bunim </w:t>
      </w:r>
      <w:proofErr w:type="spellStart"/>
      <w:r w:rsidR="00C723D9">
        <w:t>Koppelman</w:t>
      </w:r>
      <w:proofErr w:type="spellEnd"/>
      <w:r w:rsidR="00C723D9">
        <w:t xml:space="preserve"> </w:t>
      </w:r>
      <w:r>
        <w:t>which had just been reprinted in Amsterdam in 1710.</w:t>
      </w:r>
      <w:r w:rsidR="005A4F81">
        <w:rPr>
          <w:rStyle w:val="EndnoteReference"/>
        </w:rPr>
        <w:endnoteReference w:id="8"/>
      </w:r>
      <w:r>
        <w:t xml:space="preserve"> It has a picture of the grooves that fit into the sockets that is associated with the second aspect of this picture.</w:t>
      </w:r>
    </w:p>
    <w:p w14:paraId="7FFC03E9" w14:textId="46FF9316" w:rsidR="00C723D9" w:rsidRDefault="008F38EE" w:rsidP="00746B43">
      <w:hyperlink r:id="rId15" w:history="1">
        <w:r w:rsidR="00C723D9">
          <w:rPr>
            <w:rStyle w:val="Hyperlink"/>
          </w:rPr>
          <w:t>https://hebrewbooks.org/pdfpager.aspx?req=20813&amp;st=&amp;pgnum=37</w:t>
        </w:r>
      </w:hyperlink>
    </w:p>
    <w:p w14:paraId="2A15207A" w14:textId="180F459C" w:rsidR="00B553B3" w:rsidRDefault="00B553B3" w:rsidP="00746B43">
      <w:r>
        <w:rPr>
          <w:noProof/>
        </w:rPr>
        <w:drawing>
          <wp:inline distT="0" distB="0" distL="0" distR="0" wp14:anchorId="1E2390D3" wp14:editId="5CA61132">
            <wp:extent cx="2609850" cy="1676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1676400"/>
                    </a:xfrm>
                    <a:prstGeom prst="rect">
                      <a:avLst/>
                    </a:prstGeom>
                    <a:noFill/>
                    <a:ln>
                      <a:noFill/>
                    </a:ln>
                  </pic:spPr>
                </pic:pic>
              </a:graphicData>
            </a:graphic>
          </wp:inline>
        </w:drawing>
      </w:r>
    </w:p>
    <w:p w14:paraId="1CEE1EDB" w14:textId="2AAF2199" w:rsidR="00B553B3" w:rsidRDefault="00B553B3" w:rsidP="00746B43"/>
    <w:p w14:paraId="1BA8B6F0" w14:textId="48719F52" w:rsidR="00B553B3" w:rsidRDefault="00B553B3" w:rsidP="00746B43">
      <w:r>
        <w:t xml:space="preserve">Adding such a picture to a </w:t>
      </w:r>
      <w:proofErr w:type="spellStart"/>
      <w:r w:rsidRPr="00254DE3">
        <w:rPr>
          <w:i/>
          <w:iCs/>
        </w:rPr>
        <w:t>Daf</w:t>
      </w:r>
      <w:proofErr w:type="spellEnd"/>
      <w:r>
        <w:t xml:space="preserve"> of </w:t>
      </w:r>
      <w:proofErr w:type="spellStart"/>
      <w:r w:rsidRPr="00254DE3">
        <w:rPr>
          <w:i/>
          <w:iCs/>
        </w:rPr>
        <w:t>Gemara</w:t>
      </w:r>
      <w:proofErr w:type="spellEnd"/>
      <w:r>
        <w:t xml:space="preserve"> was a revolutionary act at that time</w:t>
      </w:r>
      <w:r w:rsidR="0099135D">
        <w:t xml:space="preserve"> and o</w:t>
      </w:r>
      <w:r>
        <w:t xml:space="preserve">nce added, it became part of the page. </w:t>
      </w:r>
      <w:r w:rsidR="008A6216">
        <w:t xml:space="preserve">It shows the fragility </w:t>
      </w:r>
      <w:r w:rsidR="005D38BB">
        <w:t>of what</w:t>
      </w:r>
      <w:r w:rsidR="008A6216">
        <w:t xml:space="preserve"> we think of </w:t>
      </w:r>
      <w:r w:rsidR="005D38BB">
        <w:t xml:space="preserve">as </w:t>
      </w:r>
      <w:r w:rsidR="008A6216">
        <w:t xml:space="preserve">the </w:t>
      </w:r>
      <w:proofErr w:type="spellStart"/>
      <w:r w:rsidR="008A6216" w:rsidRPr="008A6216">
        <w:rPr>
          <w:i/>
          <w:iCs/>
        </w:rPr>
        <w:t>Tzurat</w:t>
      </w:r>
      <w:proofErr w:type="spellEnd"/>
      <w:r w:rsidR="008A6216" w:rsidRPr="008A6216">
        <w:rPr>
          <w:i/>
          <w:iCs/>
        </w:rPr>
        <w:t xml:space="preserve"> </w:t>
      </w:r>
      <w:proofErr w:type="spellStart"/>
      <w:r w:rsidR="008A6216" w:rsidRPr="008A6216">
        <w:rPr>
          <w:i/>
          <w:iCs/>
        </w:rPr>
        <w:t>HaDaf</w:t>
      </w:r>
      <w:proofErr w:type="spellEnd"/>
      <w:r w:rsidR="008A6216">
        <w:t xml:space="preserve">. </w:t>
      </w:r>
      <w:r>
        <w:t xml:space="preserve"> In truth,</w:t>
      </w:r>
      <w:r w:rsidR="00254DE3">
        <w:t xml:space="preserve"> the main part of the picture showing the middle rod going through the width of the board</w:t>
      </w:r>
      <w:r>
        <w:t xml:space="preserve"> is not </w:t>
      </w:r>
      <w:r w:rsidR="008A6216">
        <w:t xml:space="preserve">at all </w:t>
      </w:r>
      <w:r w:rsidR="0099135D">
        <w:t>aligned with</w:t>
      </w:r>
      <w:r w:rsidR="00254DE3">
        <w:t xml:space="preserve"> a comment of </w:t>
      </w:r>
      <w:proofErr w:type="spellStart"/>
      <w:r w:rsidR="00254DE3" w:rsidRPr="00254DE3">
        <w:rPr>
          <w:i/>
          <w:iCs/>
        </w:rPr>
        <w:t>Rashi</w:t>
      </w:r>
      <w:proofErr w:type="spellEnd"/>
      <w:r w:rsidR="0099135D">
        <w:t xml:space="preserve">. Understanding that it </w:t>
      </w:r>
      <w:r w:rsidR="00C723D9">
        <w:t xml:space="preserve">just </w:t>
      </w:r>
      <w:r w:rsidR="0099135D">
        <w:t xml:space="preserve">tries to give a picture of </w:t>
      </w:r>
      <w:r w:rsidR="00D85FE7">
        <w:t xml:space="preserve">the </w:t>
      </w:r>
      <w:r w:rsidR="00D85FE7" w:rsidRPr="00D85FE7">
        <w:t>"</w:t>
      </w:r>
      <w:r w:rsidR="00D85FE7" w:rsidRPr="00D85FE7">
        <w:rPr>
          <w:rFonts w:cs="Arial"/>
          <w:rtl/>
          <w:lang w:bidi="he-IL"/>
        </w:rPr>
        <w:t>קרש</w:t>
      </w:r>
      <w:r w:rsidR="00D85FE7" w:rsidRPr="00D85FE7">
        <w:t>"</w:t>
      </w:r>
      <w:r w:rsidR="00254DE3" w:rsidRPr="00254DE3">
        <w:t xml:space="preserve"> </w:t>
      </w:r>
      <w:r w:rsidR="0099135D">
        <w:t>will make it easier to understand for people who study this</w:t>
      </w:r>
      <w:r w:rsidR="006C656A">
        <w:t xml:space="preserve"> page.</w:t>
      </w:r>
    </w:p>
    <w:bookmarkEnd w:id="0"/>
    <w:p w14:paraId="26E841E3" w14:textId="67687261" w:rsidR="00516BDF" w:rsidRDefault="00516BDF" w:rsidP="009A6F6E"/>
    <w:sectPr w:rsidR="00516BDF" w:rsidSect="00746B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D2B39" w14:textId="77777777" w:rsidR="007E282D" w:rsidRDefault="007E282D" w:rsidP="0069605D">
      <w:pPr>
        <w:spacing w:after="0" w:line="240" w:lineRule="auto"/>
      </w:pPr>
      <w:r>
        <w:separator/>
      </w:r>
    </w:p>
  </w:endnote>
  <w:endnote w:type="continuationSeparator" w:id="0">
    <w:p w14:paraId="0B02DD37" w14:textId="77777777" w:rsidR="007E282D" w:rsidRDefault="007E282D" w:rsidP="0069605D">
      <w:pPr>
        <w:spacing w:after="0" w:line="240" w:lineRule="auto"/>
      </w:pPr>
      <w:r>
        <w:continuationSeparator/>
      </w:r>
    </w:p>
  </w:endnote>
  <w:endnote w:id="1">
    <w:p w14:paraId="6B54D9D2" w14:textId="4D72049F" w:rsidR="009A6F6E" w:rsidRDefault="000A51CE" w:rsidP="009A6F6E">
      <w:r>
        <w:rPr>
          <w:rStyle w:val="EndnoteReference"/>
        </w:rPr>
        <w:endnoteRef/>
      </w:r>
      <w:r>
        <w:t xml:space="preserve"> </w:t>
      </w:r>
      <w:r w:rsidR="009A6F6E">
        <w:t>The Soncino edition of 1489 and the Bomberg edition of 1521 do not leave an</w:t>
      </w:r>
      <w:r w:rsidR="007C6955">
        <w:t xml:space="preserve"> empty</w:t>
      </w:r>
      <w:r w:rsidR="009A6F6E">
        <w:t xml:space="preserve"> space for a diagram on this page. There is also no diagram contained in </w:t>
      </w:r>
      <w:r w:rsidR="009A6F6E" w:rsidRPr="00254DE3">
        <w:rPr>
          <w:i/>
          <w:iCs/>
        </w:rPr>
        <w:t>Chochmat Shlomo</w:t>
      </w:r>
      <w:r w:rsidR="009A6F6E">
        <w:t xml:space="preserve"> and </w:t>
      </w:r>
      <w:r w:rsidR="009A6F6E" w:rsidRPr="00254DE3">
        <w:rPr>
          <w:i/>
          <w:iCs/>
        </w:rPr>
        <w:t>Chochmat Manoach</w:t>
      </w:r>
      <w:r w:rsidR="009A6F6E">
        <w:t xml:space="preserve">, two books which would often add diagrams missing in the early printed editions of Gemara. </w:t>
      </w:r>
    </w:p>
    <w:p w14:paraId="5BE9608A" w14:textId="31354207" w:rsidR="000A51CE" w:rsidRDefault="000A51CE">
      <w:pPr>
        <w:pStyle w:val="EndnoteText"/>
      </w:pPr>
    </w:p>
  </w:endnote>
  <w:endnote w:id="2">
    <w:p w14:paraId="06151FF7" w14:textId="3AAB0AD8" w:rsidR="005D38BB" w:rsidRDefault="00CE0F28" w:rsidP="005D38BB">
      <w:pPr>
        <w:pStyle w:val="EndnoteText"/>
      </w:pPr>
      <w:r>
        <w:rPr>
          <w:rStyle w:val="EndnoteReference"/>
        </w:rPr>
        <w:endnoteRef/>
      </w:r>
      <w:r>
        <w:t xml:space="preserve"> The “newer” versions of the Talmud </w:t>
      </w:r>
      <w:r w:rsidR="005D38BB">
        <w:t>(</w:t>
      </w:r>
      <w:r w:rsidR="005D38BB">
        <w:t xml:space="preserve">Vagshal/Nehradea, Vilna HaChadash and Oz Vehadar) </w:t>
      </w:r>
      <w:r>
        <w:t>which are based on the Vilna Shas change the picture a bit</w:t>
      </w:r>
      <w:r w:rsidR="00A33DF1">
        <w:t>.</w:t>
      </w:r>
      <w:r w:rsidRPr="00CE0F28">
        <w:t xml:space="preserve"> </w:t>
      </w:r>
      <w:r>
        <w:t>This may show the ambivalence that the editors of these new editions have towards this “picture”. Most times, they leave the diagrams the same as in the Vilna Shas.</w:t>
      </w:r>
    </w:p>
    <w:p w14:paraId="109975D4" w14:textId="3ABD2A86" w:rsidR="00CE0F28" w:rsidRDefault="00CE0F28" w:rsidP="005D38BB">
      <w:pPr>
        <w:pStyle w:val="EndnoteText"/>
      </w:pPr>
      <w:r>
        <w:t xml:space="preserve">                       </w:t>
      </w:r>
    </w:p>
  </w:endnote>
  <w:endnote w:id="3">
    <w:p w14:paraId="58DE8A76" w14:textId="77777777" w:rsidR="00594BC4" w:rsidRDefault="00594BC4" w:rsidP="00594BC4">
      <w:pPr>
        <w:pStyle w:val="EndnoteText"/>
      </w:pPr>
      <w:r>
        <w:rPr>
          <w:rStyle w:val="EndnoteReference"/>
        </w:rPr>
        <w:endnoteRef/>
      </w:r>
      <w:r>
        <w:t xml:space="preserve"> </w:t>
      </w:r>
      <w:r w:rsidRPr="00980B0C">
        <w:t>The</w:t>
      </w:r>
      <w:r>
        <w:t xml:space="preserve"> </w:t>
      </w:r>
      <w:r w:rsidRPr="00980B0C">
        <w:t xml:space="preserve">categories of work employed to build the </w:t>
      </w:r>
      <w:r w:rsidRPr="00254DE3">
        <w:rPr>
          <w:i/>
          <w:iCs/>
        </w:rPr>
        <w:t>Mishkan</w:t>
      </w:r>
      <w:r>
        <w:t xml:space="preserve"> formed</w:t>
      </w:r>
      <w:r w:rsidRPr="00980B0C">
        <w:t xml:space="preserve"> the bas</w:t>
      </w:r>
      <w:r>
        <w:t>is</w:t>
      </w:r>
      <w:r w:rsidRPr="00980B0C">
        <w:t xml:space="preserve"> for the </w:t>
      </w:r>
      <w:r w:rsidRPr="00254DE3">
        <w:rPr>
          <w:i/>
          <w:iCs/>
        </w:rPr>
        <w:t xml:space="preserve">Melachot </w:t>
      </w:r>
      <w:r>
        <w:t xml:space="preserve">of </w:t>
      </w:r>
      <w:r w:rsidRPr="00254DE3">
        <w:rPr>
          <w:i/>
          <w:iCs/>
        </w:rPr>
        <w:t>Shabbat.</w:t>
      </w:r>
      <w:r>
        <w:t xml:space="preserve"> In this case, the boards of the </w:t>
      </w:r>
      <w:r w:rsidRPr="00254DE3">
        <w:rPr>
          <w:i/>
          <w:iCs/>
        </w:rPr>
        <w:t>Mishkan</w:t>
      </w:r>
      <w:r>
        <w:t xml:space="preserve"> were transported from one location to another giving rise to issues relating to the domains created thereby. </w:t>
      </w:r>
    </w:p>
    <w:p w14:paraId="6C72B6C4" w14:textId="77777777" w:rsidR="00594BC4" w:rsidRDefault="00594BC4" w:rsidP="00594BC4">
      <w:pPr>
        <w:pStyle w:val="EndnoteText"/>
      </w:pPr>
    </w:p>
  </w:endnote>
  <w:endnote w:id="4">
    <w:p w14:paraId="07DA7E9C" w14:textId="77777777" w:rsidR="00594BC4" w:rsidRDefault="00594BC4" w:rsidP="00594BC4">
      <w:pPr>
        <w:pStyle w:val="EndnoteText"/>
      </w:pPr>
      <w:r>
        <w:rPr>
          <w:rStyle w:val="EndnoteReference"/>
        </w:rPr>
        <w:endnoteRef/>
      </w:r>
      <w:r>
        <w:t xml:space="preserve"> </w:t>
      </w:r>
      <w:hyperlink r:id="rId1" w:history="1">
        <w:r>
          <w:rPr>
            <w:rStyle w:val="Hyperlink"/>
          </w:rPr>
          <w:t>https://fjms.genizah.org/</w:t>
        </w:r>
      </w:hyperlink>
    </w:p>
    <w:p w14:paraId="6437CE75" w14:textId="77777777" w:rsidR="00594BC4" w:rsidRDefault="00594BC4" w:rsidP="00594BC4">
      <w:pPr>
        <w:pStyle w:val="EndnoteText"/>
      </w:pPr>
    </w:p>
  </w:endnote>
  <w:endnote w:id="5">
    <w:p w14:paraId="0F2E5BC5" w14:textId="26BE38A5" w:rsidR="00594BC4" w:rsidRDefault="00594BC4" w:rsidP="005D38BB">
      <w:r>
        <w:rPr>
          <w:rStyle w:val="EndnoteReference"/>
        </w:rPr>
        <w:endnoteRef/>
      </w:r>
      <w:r>
        <w:t xml:space="preserve"> The manuscripts I checked on the KTIV website of the National Library of Israel were ones known as Parma 20</w:t>
      </w:r>
      <w:r w:rsidR="009D0F0F">
        <w:t>8</w:t>
      </w:r>
      <w:r>
        <w:t xml:space="preserve">7, Vatican 138, and Paris 324. All have no diagram in this entire </w:t>
      </w:r>
      <w:r w:rsidRPr="00254DE3">
        <w:rPr>
          <w:i/>
          <w:iCs/>
        </w:rPr>
        <w:t>Perek</w:t>
      </w:r>
      <w:r>
        <w:t xml:space="preserve"> despite containing other diagrams of </w:t>
      </w:r>
      <w:r w:rsidRPr="00254DE3">
        <w:rPr>
          <w:i/>
          <w:iCs/>
        </w:rPr>
        <w:t>Rashi</w:t>
      </w:r>
      <w:r>
        <w:t xml:space="preserve"> in other </w:t>
      </w:r>
      <w:r w:rsidRPr="00254DE3">
        <w:rPr>
          <w:i/>
          <w:iCs/>
        </w:rPr>
        <w:t>Perakim</w:t>
      </w:r>
      <w:r>
        <w:t xml:space="preserve">. (The two other manuscripts I checked of the total five that were available did not have diagrams in other </w:t>
      </w:r>
      <w:r w:rsidRPr="00254DE3">
        <w:rPr>
          <w:i/>
          <w:iCs/>
        </w:rPr>
        <w:t>Perakim</w:t>
      </w:r>
      <w:r>
        <w:t xml:space="preserve"> either). The general website address for KTIV is </w:t>
      </w:r>
      <w:hyperlink r:id="rId2" w:history="1">
        <w:r>
          <w:rPr>
            <w:rStyle w:val="Hyperlink"/>
          </w:rPr>
          <w:t>https://web.nli.org.il/sites/nlis/en/manuscript</w:t>
        </w:r>
      </w:hyperlink>
    </w:p>
  </w:endnote>
  <w:endnote w:id="6">
    <w:p w14:paraId="669414BA" w14:textId="77777777" w:rsidR="00EB239F" w:rsidRDefault="00EB239F" w:rsidP="00EB239F">
      <w:pPr>
        <w:pStyle w:val="EndnoteText"/>
      </w:pPr>
      <w:r>
        <w:rPr>
          <w:rStyle w:val="EndnoteReference"/>
        </w:rPr>
        <w:endnoteRef/>
      </w:r>
      <w:r>
        <w:t xml:space="preserve"> </w:t>
      </w:r>
      <w:r w:rsidRPr="00FE6070">
        <w:t xml:space="preserve">In 1714, R. Judah Aryeh </w:t>
      </w:r>
      <w:r w:rsidRPr="00FE6070">
        <w:t xml:space="preserve">Leib ben Joseph Samuel arranged to have the Talmud printed in Amsterdam by Samuel ben Solomon Marquis and Raphael ben Joshua de Palacio. They began printing with Berakhot, but were forced to discontinue printing in 1717 due to the </w:t>
      </w:r>
      <w:r w:rsidRPr="00B472F7">
        <w:rPr>
          <w:i/>
          <w:iCs/>
        </w:rPr>
        <w:t>Haskamot</w:t>
      </w:r>
      <w:r w:rsidRPr="00FE6070">
        <w:t xml:space="preserve"> issued for the 1697-1699 Frankfurt</w:t>
      </w:r>
      <w:r>
        <w:t xml:space="preserve"> on der </w:t>
      </w:r>
      <w:r w:rsidRPr="00FE6070">
        <w:t>Oder edition of the Talmud. Judah Aryeh Leib, resumed printing in 1720 in Frankfurt-am-Main at the press of Johann Koelner.</w:t>
      </w:r>
    </w:p>
    <w:p w14:paraId="59EC16CF" w14:textId="77777777" w:rsidR="00EB239F" w:rsidRDefault="00EB239F" w:rsidP="00EB239F">
      <w:pPr>
        <w:pStyle w:val="EndnoteText"/>
      </w:pPr>
      <w:r>
        <w:t xml:space="preserve">For more information on this edition see “Printing the </w:t>
      </w:r>
      <w:r>
        <w:t>Talmud : from Bomberg to Schottenstein”</w:t>
      </w:r>
      <w:r>
        <w:tab/>
        <w:t xml:space="preserve">Sharon Liberman Mintz; Gabriel M Goldstein; Yeshiva University Museum.; Center for Jewish History ,2005. </w:t>
      </w:r>
    </w:p>
    <w:p w14:paraId="5133EAF9" w14:textId="77777777" w:rsidR="00EB239F" w:rsidRDefault="00EB239F" w:rsidP="00EB239F">
      <w:pPr>
        <w:pStyle w:val="EndnoteText"/>
      </w:pPr>
      <w:r>
        <w:t>Article by Marvin J Heller, page 254</w:t>
      </w:r>
    </w:p>
    <w:p w14:paraId="3EEE10B1" w14:textId="4FCA4240" w:rsidR="00EB239F" w:rsidRDefault="00EB239F">
      <w:pPr>
        <w:pStyle w:val="EndnoteText"/>
      </w:pPr>
    </w:p>
  </w:endnote>
  <w:endnote w:id="7">
    <w:p w14:paraId="64061256" w14:textId="288E908C" w:rsidR="00A33DF1" w:rsidRPr="00960462" w:rsidRDefault="00A33DF1" w:rsidP="005D38BB">
      <w:pPr>
        <w:pStyle w:val="EndnoteText"/>
        <w:rPr>
          <w:rFonts w:cs="Arial"/>
          <w:lang w:bidi="he-IL"/>
        </w:rPr>
      </w:pPr>
      <w:r>
        <w:rPr>
          <w:rStyle w:val="EndnoteReference"/>
        </w:rPr>
        <w:endnoteRef/>
      </w:r>
      <w:r>
        <w:t xml:space="preserve"> In the book </w:t>
      </w:r>
      <w:r w:rsidRPr="00D84792">
        <w:rPr>
          <w:rFonts w:cs="Arial"/>
          <w:rtl/>
          <w:lang w:bidi="he-IL"/>
        </w:rPr>
        <w:t>רש״י ,חייו ופירושיו",כרך ב׳, הוצאת הקדש רוח יעקב, תשנ״ז</w:t>
      </w:r>
      <w:r>
        <w:rPr>
          <w:rFonts w:cs="Arial"/>
          <w:lang w:bidi="he-IL"/>
        </w:rPr>
        <w:t xml:space="preserve">”  page 497, the author </w:t>
      </w:r>
      <w:r>
        <w:rPr>
          <w:rFonts w:cs="Arial"/>
          <w:lang w:bidi="he-IL"/>
        </w:rPr>
        <w:t xml:space="preserve">Rav Rephael Halpren states that there are 101 diagrams in </w:t>
      </w:r>
      <w:r w:rsidRPr="00254DE3">
        <w:rPr>
          <w:rFonts w:cs="Arial"/>
          <w:i/>
          <w:iCs/>
          <w:lang w:bidi="he-IL"/>
        </w:rPr>
        <w:t xml:space="preserve">Rashi </w:t>
      </w:r>
      <w:r>
        <w:rPr>
          <w:rFonts w:cs="Arial"/>
          <w:lang w:bidi="he-IL"/>
        </w:rPr>
        <w:t xml:space="preserve">included in the </w:t>
      </w:r>
      <w:r w:rsidRPr="00254DE3">
        <w:rPr>
          <w:rFonts w:cs="Arial"/>
          <w:i/>
          <w:iCs/>
          <w:lang w:bidi="he-IL"/>
        </w:rPr>
        <w:t>Vilna Shas</w:t>
      </w:r>
      <w:r>
        <w:rPr>
          <w:rFonts w:cs="Arial"/>
          <w:lang w:bidi="he-IL"/>
        </w:rPr>
        <w:t xml:space="preserve">, 51 of them in </w:t>
      </w:r>
      <w:r w:rsidRPr="00254DE3">
        <w:rPr>
          <w:rFonts w:cs="Arial"/>
          <w:i/>
          <w:iCs/>
          <w:lang w:bidi="he-IL"/>
        </w:rPr>
        <w:t>Masechet Eruvin</w:t>
      </w:r>
      <w:r>
        <w:rPr>
          <w:rFonts w:cs="Arial"/>
          <w:lang w:bidi="he-IL"/>
        </w:rPr>
        <w:t>. He then proceeds to enumerate all of them, including this one on Shabbat 98b. From the positioning of it on the page it certainly does look that way.</w:t>
      </w:r>
    </w:p>
    <w:p w14:paraId="4FB13E29" w14:textId="0DF835D5" w:rsidR="00A33DF1" w:rsidRDefault="00A33DF1" w:rsidP="00A33DF1">
      <w:pPr>
        <w:pStyle w:val="EndnoteText"/>
      </w:pPr>
      <w:r>
        <w:rPr>
          <w:noProof/>
        </w:rPr>
        <w:drawing>
          <wp:inline distT="0" distB="0" distL="0" distR="0" wp14:anchorId="6731DC17" wp14:editId="5E54385F">
            <wp:extent cx="5819775"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9775" cy="762000"/>
                    </a:xfrm>
                    <a:prstGeom prst="rect">
                      <a:avLst/>
                    </a:prstGeom>
                    <a:noFill/>
                    <a:ln>
                      <a:noFill/>
                    </a:ln>
                  </pic:spPr>
                </pic:pic>
              </a:graphicData>
            </a:graphic>
          </wp:inline>
        </w:drawing>
      </w:r>
      <w:r>
        <w:rPr>
          <w:noProof/>
        </w:rPr>
        <w:drawing>
          <wp:inline distT="0" distB="0" distL="0" distR="0" wp14:anchorId="131E5BAE" wp14:editId="7A741E97">
            <wp:extent cx="5943600" cy="1247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14:paraId="0635E76D" w14:textId="77777777" w:rsidR="00C723D9" w:rsidRDefault="00C723D9" w:rsidP="00A33DF1">
      <w:pPr>
        <w:pStyle w:val="EndnoteText"/>
      </w:pPr>
    </w:p>
  </w:endnote>
  <w:endnote w:id="8">
    <w:p w14:paraId="42D5A40D" w14:textId="5CFBF92B" w:rsidR="005A4F81" w:rsidRPr="00FA4198" w:rsidRDefault="005A4F81">
      <w:pPr>
        <w:pStyle w:val="EndnoteText"/>
        <w:rPr>
          <w:color w:val="575757"/>
          <w:sz w:val="22"/>
          <w:szCs w:val="22"/>
          <w:shd w:val="clear" w:color="auto" w:fill="FFFFFF"/>
        </w:rPr>
      </w:pPr>
      <w:r>
        <w:rPr>
          <w:rStyle w:val="EndnoteReference"/>
        </w:rPr>
        <w:endnoteRef/>
      </w:r>
      <w:r>
        <w:t xml:space="preserve"> </w:t>
      </w:r>
      <w:r w:rsidR="00C723D9" w:rsidRPr="00FA4198">
        <w:rPr>
          <w:color w:val="575757"/>
          <w:sz w:val="22"/>
          <w:szCs w:val="22"/>
          <w:shd w:val="clear" w:color="auto" w:fill="FFFFFF"/>
        </w:rPr>
        <w:t xml:space="preserve">Jacob ben Simcha Bunim </w:t>
      </w:r>
      <w:r w:rsidR="00C723D9" w:rsidRPr="00FA4198">
        <w:rPr>
          <w:color w:val="575757"/>
          <w:sz w:val="22"/>
          <w:szCs w:val="22"/>
          <w:shd w:val="clear" w:color="auto" w:fill="FFFFFF"/>
        </w:rPr>
        <w:t xml:space="preserve">Koppelman </w:t>
      </w:r>
      <w:r w:rsidRPr="00FA4198">
        <w:rPr>
          <w:color w:val="575757"/>
          <w:sz w:val="22"/>
          <w:szCs w:val="22"/>
          <w:shd w:val="clear" w:color="auto" w:fill="FFFFFF"/>
        </w:rPr>
        <w:t>(1555–1594)</w:t>
      </w:r>
      <w:r w:rsidR="00C723D9" w:rsidRPr="00FA4198">
        <w:rPr>
          <w:color w:val="575757"/>
          <w:sz w:val="22"/>
          <w:szCs w:val="22"/>
          <w:shd w:val="clear" w:color="auto" w:fill="FFFFFF"/>
        </w:rPr>
        <w:t xml:space="preserve"> was a </w:t>
      </w:r>
      <w:r w:rsidRPr="00FA4198">
        <w:rPr>
          <w:color w:val="575757"/>
          <w:sz w:val="22"/>
          <w:szCs w:val="22"/>
          <w:shd w:val="clear" w:color="auto" w:fill="FFFFFF"/>
        </w:rPr>
        <w:t>talmudic scholar distinguished for his broad erudition and interest in secular sciences. Early in his life he embarked upon mathematical and astronomical studies, in addition to intensive occupation with traditional Jewish learning. He is the author of </w:t>
      </w:r>
      <w:r w:rsidRPr="00FA4198">
        <w:rPr>
          <w:i/>
          <w:iCs/>
          <w:color w:val="575757"/>
          <w:sz w:val="22"/>
          <w:szCs w:val="22"/>
          <w:shd w:val="clear" w:color="auto" w:fill="FFFFFF"/>
        </w:rPr>
        <w:t>Omek Halakhah</w:t>
      </w:r>
      <w:r w:rsidRPr="00FA4198">
        <w:rPr>
          <w:color w:val="575757"/>
          <w:sz w:val="22"/>
          <w:szCs w:val="22"/>
          <w:shd w:val="clear" w:color="auto" w:fill="FFFFFF"/>
        </w:rPr>
        <w:t> (Cracow, 1593). In it he elucidates the laws appertaining to </w:t>
      </w:r>
      <w:r w:rsidRPr="00FA4198">
        <w:rPr>
          <w:i/>
          <w:iCs/>
          <w:color w:val="575757"/>
          <w:sz w:val="22"/>
          <w:szCs w:val="22"/>
          <w:shd w:val="clear" w:color="auto" w:fill="FFFFFF"/>
        </w:rPr>
        <w:t>Kilayim, Eruvin</w:t>
      </w:r>
      <w:r w:rsidRPr="00FA4198">
        <w:rPr>
          <w:color w:val="575757"/>
          <w:sz w:val="22"/>
          <w:szCs w:val="22"/>
          <w:shd w:val="clear" w:color="auto" w:fill="FFFFFF"/>
        </w:rPr>
        <w:t>, etc., with the aid of diagrams and models</w:t>
      </w:r>
      <w:r w:rsidR="00C723D9" w:rsidRPr="00FA4198">
        <w:rPr>
          <w:color w:val="575757"/>
          <w:sz w:val="22"/>
          <w:szCs w:val="22"/>
          <w:shd w:val="clear" w:color="auto" w:fill="FFFFFF"/>
        </w:rPr>
        <w:t>.</w:t>
      </w:r>
    </w:p>
    <w:p w14:paraId="4992C5C8" w14:textId="0D226919" w:rsidR="00C723D9" w:rsidRDefault="008F38EE">
      <w:pPr>
        <w:pStyle w:val="EndnoteText"/>
      </w:pPr>
      <w:hyperlink r:id="rId5" w:history="1">
        <w:r w:rsidR="00C723D9">
          <w:rPr>
            <w:rStyle w:val="Hyperlink"/>
          </w:rPr>
          <w:t>https://www.encyclopedia.com/religion/encyclopedias-almanacs-transcripts-and-maps/koppelman-jacob-ben-samuel-bunim</w:t>
        </w:r>
      </w:hyperlink>
    </w:p>
    <w:p w14:paraId="7C26A4E4" w14:textId="7190C399" w:rsidR="00FF3272" w:rsidRDefault="00FF3272">
      <w:pPr>
        <w:pStyle w:val="EndnoteText"/>
      </w:pPr>
    </w:p>
    <w:p w14:paraId="59ACBFB0" w14:textId="494310F5" w:rsidR="00FF3272" w:rsidRDefault="00FF3272">
      <w:pPr>
        <w:pStyle w:val="EndnoteText"/>
      </w:pPr>
      <w:r>
        <w:t>This is it as it appears in the first edition (Cracow 1593)</w:t>
      </w:r>
    </w:p>
    <w:p w14:paraId="2CEE6245" w14:textId="6534D6E7" w:rsidR="00FF3272" w:rsidRDefault="008F38EE">
      <w:pPr>
        <w:pStyle w:val="EndnoteText"/>
        <w:rPr>
          <w:rStyle w:val="Hyperlink"/>
        </w:rPr>
      </w:pPr>
      <w:hyperlink r:id="rId6" w:history="1">
        <w:r w:rsidR="00FF3272">
          <w:rPr>
            <w:rStyle w:val="Hyperlink"/>
          </w:rPr>
          <w:t>https://hebrewbooks.org/pdfpager.aspx?req=45068&amp;st=&amp;pgnum=39</w:t>
        </w:r>
      </w:hyperlink>
    </w:p>
    <w:p w14:paraId="3725457E" w14:textId="2BE7C9FE" w:rsidR="00C57F62" w:rsidRDefault="00C57F62">
      <w:pPr>
        <w:pStyle w:val="EndnoteText"/>
        <w:rPr>
          <w:rStyle w:val="Hyperlink"/>
        </w:rPr>
      </w:pPr>
    </w:p>
    <w:p w14:paraId="763CD93B" w14:textId="1766A2F9" w:rsidR="00C57F62" w:rsidRDefault="00C57F62">
      <w:pPr>
        <w:pStyle w:val="EndnoteText"/>
        <w:rPr>
          <w:rStyle w:val="Hyperlink"/>
        </w:rPr>
      </w:pPr>
    </w:p>
    <w:p w14:paraId="5786EBB8" w14:textId="740CF1ED" w:rsidR="00C57F62" w:rsidRDefault="00C57F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2DD4B" w14:textId="77777777" w:rsidR="007E282D" w:rsidRDefault="007E282D" w:rsidP="0069605D">
      <w:pPr>
        <w:spacing w:after="0" w:line="240" w:lineRule="auto"/>
      </w:pPr>
      <w:r>
        <w:separator/>
      </w:r>
    </w:p>
  </w:footnote>
  <w:footnote w:type="continuationSeparator" w:id="0">
    <w:p w14:paraId="33CD16AA" w14:textId="77777777" w:rsidR="007E282D" w:rsidRDefault="007E282D" w:rsidP="0069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229A3"/>
    <w:multiLevelType w:val="hybridMultilevel"/>
    <w:tmpl w:val="2AC0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51"/>
    <w:rsid w:val="000074B8"/>
    <w:rsid w:val="00013E42"/>
    <w:rsid w:val="000355F4"/>
    <w:rsid w:val="000A51CE"/>
    <w:rsid w:val="000C1D63"/>
    <w:rsid w:val="000E31E0"/>
    <w:rsid w:val="000E547E"/>
    <w:rsid w:val="00132E1A"/>
    <w:rsid w:val="00142497"/>
    <w:rsid w:val="001C3F49"/>
    <w:rsid w:val="001E4C2E"/>
    <w:rsid w:val="0021294E"/>
    <w:rsid w:val="00220782"/>
    <w:rsid w:val="00254DE3"/>
    <w:rsid w:val="0027472F"/>
    <w:rsid w:val="002C01FF"/>
    <w:rsid w:val="002D55AD"/>
    <w:rsid w:val="002D5743"/>
    <w:rsid w:val="002F0F49"/>
    <w:rsid w:val="003540A8"/>
    <w:rsid w:val="00361AD3"/>
    <w:rsid w:val="003860A3"/>
    <w:rsid w:val="003F5D0E"/>
    <w:rsid w:val="004016E2"/>
    <w:rsid w:val="00406BDD"/>
    <w:rsid w:val="0041006C"/>
    <w:rsid w:val="004611D7"/>
    <w:rsid w:val="00466FB2"/>
    <w:rsid w:val="004A226C"/>
    <w:rsid w:val="004C118B"/>
    <w:rsid w:val="005018BE"/>
    <w:rsid w:val="00516BDF"/>
    <w:rsid w:val="00594BC4"/>
    <w:rsid w:val="005A2B4E"/>
    <w:rsid w:val="005A4F81"/>
    <w:rsid w:val="005C623D"/>
    <w:rsid w:val="005D38BB"/>
    <w:rsid w:val="005F6FB7"/>
    <w:rsid w:val="0069605D"/>
    <w:rsid w:val="006C4162"/>
    <w:rsid w:val="006C656A"/>
    <w:rsid w:val="006E3862"/>
    <w:rsid w:val="00746B43"/>
    <w:rsid w:val="007C6955"/>
    <w:rsid w:val="007E282D"/>
    <w:rsid w:val="007E38C4"/>
    <w:rsid w:val="00800726"/>
    <w:rsid w:val="00836D5E"/>
    <w:rsid w:val="0085451B"/>
    <w:rsid w:val="00855CC1"/>
    <w:rsid w:val="00856347"/>
    <w:rsid w:val="008A6216"/>
    <w:rsid w:val="008E13CF"/>
    <w:rsid w:val="008F38EE"/>
    <w:rsid w:val="00907F15"/>
    <w:rsid w:val="00916523"/>
    <w:rsid w:val="009247E3"/>
    <w:rsid w:val="00935A8D"/>
    <w:rsid w:val="0094128D"/>
    <w:rsid w:val="00953C95"/>
    <w:rsid w:val="00954579"/>
    <w:rsid w:val="00960462"/>
    <w:rsid w:val="00960605"/>
    <w:rsid w:val="009639F0"/>
    <w:rsid w:val="0099135D"/>
    <w:rsid w:val="009A5E13"/>
    <w:rsid w:val="009A6F6E"/>
    <w:rsid w:val="009B106A"/>
    <w:rsid w:val="009B2994"/>
    <w:rsid w:val="009D0F0F"/>
    <w:rsid w:val="009D5F5E"/>
    <w:rsid w:val="009D7870"/>
    <w:rsid w:val="00A21096"/>
    <w:rsid w:val="00A33DF1"/>
    <w:rsid w:val="00A3764D"/>
    <w:rsid w:val="00A5242E"/>
    <w:rsid w:val="00A8061F"/>
    <w:rsid w:val="00A91751"/>
    <w:rsid w:val="00AA044B"/>
    <w:rsid w:val="00AA0F35"/>
    <w:rsid w:val="00AA1E4E"/>
    <w:rsid w:val="00AB6FA7"/>
    <w:rsid w:val="00B000BF"/>
    <w:rsid w:val="00B07063"/>
    <w:rsid w:val="00B33A06"/>
    <w:rsid w:val="00B414E8"/>
    <w:rsid w:val="00B45A9E"/>
    <w:rsid w:val="00B553B3"/>
    <w:rsid w:val="00BA2CEE"/>
    <w:rsid w:val="00BB1C1A"/>
    <w:rsid w:val="00BC405D"/>
    <w:rsid w:val="00BD763E"/>
    <w:rsid w:val="00BE03C6"/>
    <w:rsid w:val="00BE5C17"/>
    <w:rsid w:val="00C116F4"/>
    <w:rsid w:val="00C513D8"/>
    <w:rsid w:val="00C57F62"/>
    <w:rsid w:val="00C619FC"/>
    <w:rsid w:val="00C723D9"/>
    <w:rsid w:val="00C8111F"/>
    <w:rsid w:val="00CE0F28"/>
    <w:rsid w:val="00CE754C"/>
    <w:rsid w:val="00CF6574"/>
    <w:rsid w:val="00D227E0"/>
    <w:rsid w:val="00D26221"/>
    <w:rsid w:val="00D630A4"/>
    <w:rsid w:val="00D84792"/>
    <w:rsid w:val="00D85FE7"/>
    <w:rsid w:val="00DA14F9"/>
    <w:rsid w:val="00DD383F"/>
    <w:rsid w:val="00DD54F8"/>
    <w:rsid w:val="00DD78DC"/>
    <w:rsid w:val="00DF5641"/>
    <w:rsid w:val="00E1362D"/>
    <w:rsid w:val="00E83B08"/>
    <w:rsid w:val="00E856FB"/>
    <w:rsid w:val="00E86DCC"/>
    <w:rsid w:val="00E93813"/>
    <w:rsid w:val="00EB239F"/>
    <w:rsid w:val="00EB76BF"/>
    <w:rsid w:val="00EE4612"/>
    <w:rsid w:val="00F137CD"/>
    <w:rsid w:val="00F377D5"/>
    <w:rsid w:val="00F47FFA"/>
    <w:rsid w:val="00F50602"/>
    <w:rsid w:val="00F6289F"/>
    <w:rsid w:val="00F66EE6"/>
    <w:rsid w:val="00F804A7"/>
    <w:rsid w:val="00F91101"/>
    <w:rsid w:val="00F9702D"/>
    <w:rsid w:val="00FA2492"/>
    <w:rsid w:val="00FA4198"/>
    <w:rsid w:val="00FE7B15"/>
    <w:rsid w:val="00FF32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3C80"/>
  <w15:docId w15:val="{779154DB-45B0-410B-8B87-83CEA128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51"/>
    <w:rPr>
      <w:rFonts w:ascii="Tahoma" w:hAnsi="Tahoma" w:cs="Tahoma"/>
      <w:sz w:val="16"/>
      <w:szCs w:val="16"/>
    </w:rPr>
  </w:style>
  <w:style w:type="paragraph" w:styleId="EndnoteText">
    <w:name w:val="endnote text"/>
    <w:basedOn w:val="Normal"/>
    <w:link w:val="EndnoteTextChar"/>
    <w:uiPriority w:val="99"/>
    <w:unhideWhenUsed/>
    <w:rsid w:val="0069605D"/>
    <w:pPr>
      <w:spacing w:after="0" w:line="240" w:lineRule="auto"/>
    </w:pPr>
    <w:rPr>
      <w:sz w:val="20"/>
      <w:szCs w:val="20"/>
    </w:rPr>
  </w:style>
  <w:style w:type="character" w:customStyle="1" w:styleId="EndnoteTextChar">
    <w:name w:val="Endnote Text Char"/>
    <w:basedOn w:val="DefaultParagraphFont"/>
    <w:link w:val="EndnoteText"/>
    <w:uiPriority w:val="99"/>
    <w:rsid w:val="0069605D"/>
    <w:rPr>
      <w:sz w:val="20"/>
      <w:szCs w:val="20"/>
    </w:rPr>
  </w:style>
  <w:style w:type="character" w:styleId="EndnoteReference">
    <w:name w:val="endnote reference"/>
    <w:basedOn w:val="DefaultParagraphFont"/>
    <w:uiPriority w:val="99"/>
    <w:semiHidden/>
    <w:unhideWhenUsed/>
    <w:rsid w:val="0069605D"/>
    <w:rPr>
      <w:vertAlign w:val="superscript"/>
    </w:rPr>
  </w:style>
  <w:style w:type="paragraph" w:styleId="ListParagraph">
    <w:name w:val="List Paragraph"/>
    <w:basedOn w:val="Normal"/>
    <w:uiPriority w:val="34"/>
    <w:qFormat/>
    <w:rsid w:val="00F9702D"/>
    <w:pPr>
      <w:ind w:left="720"/>
      <w:contextualSpacing/>
    </w:pPr>
  </w:style>
  <w:style w:type="character" w:styleId="Hyperlink">
    <w:name w:val="Hyperlink"/>
    <w:basedOn w:val="DefaultParagraphFont"/>
    <w:uiPriority w:val="99"/>
    <w:unhideWhenUsed/>
    <w:rsid w:val="00594BC4"/>
    <w:rPr>
      <w:color w:val="0000FF"/>
      <w:u w:val="single"/>
    </w:rPr>
  </w:style>
  <w:style w:type="character" w:customStyle="1" w:styleId="Title1">
    <w:name w:val="Title1"/>
    <w:basedOn w:val="DefaultParagraphFont"/>
    <w:rsid w:val="00960462"/>
  </w:style>
  <w:style w:type="character" w:customStyle="1" w:styleId="content">
    <w:name w:val="content"/>
    <w:basedOn w:val="DefaultParagraphFont"/>
    <w:rsid w:val="0096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1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brewbooks.org/pdfpager.aspx?req=14314&amp;st=&amp;pgnum=197"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google.com/books?id=id9jAAAAcAAJ&amp;printsec=frontcover&amp;source=gbs_ge_summary_r&amp;ca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hebrewbooks.org/pdfpager.aspx?req=20813&amp;st=&amp;pgnum=37"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7.jpeg"/></Relationships>
</file>

<file path=word/_rels/endnotes.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eb.nli.org.il/sites/nlis/en/manuscript" TargetMode="External"/><Relationship Id="rId1" Type="http://schemas.openxmlformats.org/officeDocument/2006/relationships/hyperlink" Target="https://fjms.genizah.org/" TargetMode="External"/><Relationship Id="rId6" Type="http://schemas.openxmlformats.org/officeDocument/2006/relationships/hyperlink" Target="https://hebrewbooks.org/pdfpager.aspx?req=45068&amp;st=&amp;pgnum=39" TargetMode="External"/><Relationship Id="rId5" Type="http://schemas.openxmlformats.org/officeDocument/2006/relationships/hyperlink" Target="https://www.encyclopedia.com/religion/encyclopedias-almanacs-transcripts-and-maps/koppelman-jacob-ben-samuel-bunim"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A5F6-414A-4618-B792-A7ED75A8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Eli Genauer</cp:lastModifiedBy>
  <cp:revision>2</cp:revision>
  <cp:lastPrinted>2020-05-08T21:26:00Z</cp:lastPrinted>
  <dcterms:created xsi:type="dcterms:W3CDTF">2021-01-29T00:54:00Z</dcterms:created>
  <dcterms:modified xsi:type="dcterms:W3CDTF">2021-01-29T00:54:00Z</dcterms:modified>
</cp:coreProperties>
</file>